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A0B5" w14:textId="24D36F33" w:rsidR="006E6ED4" w:rsidRPr="005C560E" w:rsidRDefault="006E6ED4" w:rsidP="006E6ED4">
      <w:pPr>
        <w:tabs>
          <w:tab w:val="right" w:pos="9639"/>
        </w:tabs>
        <w:spacing w:after="60"/>
        <w:rPr>
          <w:rFonts w:ascii="Arial" w:eastAsia="MS Mincho" w:hAnsi="Arial"/>
          <w:b/>
          <w:bCs/>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sidR="00816772">
        <w:rPr>
          <w:rFonts w:ascii="Arial" w:hAnsi="Arial"/>
          <w:b/>
          <w:bCs/>
          <w:lang w:val="en-US"/>
        </w:rPr>
        <w:t xml:space="preserve"> </w:t>
      </w:r>
      <w:r w:rsidR="007A6BEB">
        <w:rPr>
          <w:rFonts w:ascii="Arial" w:hAnsi="Arial"/>
          <w:b/>
          <w:bCs/>
          <w:lang w:val="en-US"/>
        </w:rPr>
        <w:t>#107</w:t>
      </w:r>
      <w:r w:rsidRPr="005C560E">
        <w:rPr>
          <w:rFonts w:ascii="Arial" w:hAnsi="Arial"/>
          <w:b/>
          <w:bCs/>
          <w:lang w:val="en-US"/>
        </w:rPr>
        <w:t xml:space="preserve"> Meeting </w:t>
      </w:r>
      <w:r w:rsidRPr="005C560E">
        <w:rPr>
          <w:lang w:val="en-US"/>
        </w:rPr>
        <w:tab/>
      </w:r>
      <w:r w:rsidR="007A6BEB" w:rsidRPr="005C560E">
        <w:rPr>
          <w:b/>
          <w:bCs/>
          <w:lang w:val="en-US"/>
        </w:rPr>
        <w:t>R</w:t>
      </w:r>
      <w:r w:rsidR="007A6BEB">
        <w:rPr>
          <w:b/>
          <w:bCs/>
          <w:lang w:val="en-US"/>
        </w:rPr>
        <w:t>P</w:t>
      </w:r>
      <w:r w:rsidRPr="005C560E">
        <w:rPr>
          <w:b/>
          <w:bCs/>
          <w:lang w:val="en-US"/>
        </w:rPr>
        <w:t>-</w:t>
      </w:r>
      <w:r w:rsidR="00796ABB" w:rsidRPr="005C560E">
        <w:rPr>
          <w:b/>
          <w:bCs/>
          <w:lang w:val="en-US"/>
        </w:rPr>
        <w:t>2</w:t>
      </w:r>
      <w:r w:rsidR="00796ABB">
        <w:rPr>
          <w:b/>
          <w:bCs/>
          <w:lang w:val="en-US"/>
        </w:rPr>
        <w:t>50457</w:t>
      </w:r>
    </w:p>
    <w:p w14:paraId="439A1C24" w14:textId="398D05E5" w:rsidR="006E6ED4" w:rsidRPr="005C560E" w:rsidRDefault="006E6ED4" w:rsidP="006E6ED4">
      <w:pPr>
        <w:rPr>
          <w:rFonts w:ascii="Arial" w:hAnsi="Arial"/>
          <w:b/>
          <w:bCs/>
          <w:lang w:val="en-US"/>
        </w:rPr>
      </w:pPr>
      <w:r>
        <w:rPr>
          <w:rFonts w:ascii="Arial" w:hAnsi="Arial"/>
          <w:b/>
          <w:bCs/>
          <w:lang w:val="en-US"/>
        </w:rPr>
        <w:t>Incheon</w:t>
      </w:r>
      <w:r w:rsidRPr="005C560E">
        <w:rPr>
          <w:rFonts w:ascii="Arial" w:hAnsi="Arial"/>
          <w:b/>
          <w:bCs/>
          <w:lang w:val="en-US"/>
        </w:rPr>
        <w:t xml:space="preserve">, </w:t>
      </w:r>
      <w:r w:rsidR="00AD530E" w:rsidRPr="00AD530E">
        <w:rPr>
          <w:rFonts w:ascii="Arial" w:hAnsi="Arial"/>
          <w:b/>
          <w:bCs/>
          <w:lang w:val="en-US"/>
        </w:rPr>
        <w:t>Republic of Korea</w:t>
      </w:r>
      <w:r w:rsidRPr="005C560E">
        <w:rPr>
          <w:rFonts w:ascii="Arial" w:hAnsi="Arial"/>
          <w:b/>
          <w:bCs/>
          <w:lang w:val="en-US"/>
        </w:rPr>
        <w:t xml:space="preserve">, </w:t>
      </w:r>
      <w:r>
        <w:rPr>
          <w:rFonts w:ascii="Arial" w:hAnsi="Arial"/>
          <w:b/>
          <w:bCs/>
          <w:lang w:val="en-US"/>
        </w:rPr>
        <w:t>March 1</w:t>
      </w:r>
      <w:r w:rsidR="007A6BEB">
        <w:rPr>
          <w:rFonts w:ascii="Arial" w:hAnsi="Arial"/>
          <w:b/>
          <w:bCs/>
          <w:lang w:val="en-US"/>
        </w:rPr>
        <w:t>2-1</w:t>
      </w:r>
      <w:r w:rsidR="00D11687">
        <w:rPr>
          <w:rFonts w:ascii="Arial" w:hAnsi="Arial"/>
          <w:b/>
          <w:bCs/>
          <w:lang w:val="en-US"/>
        </w:rPr>
        <w:t>4</w:t>
      </w:r>
      <w:r w:rsidR="00204808"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16FA83C7"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7A6BEB">
        <w:rPr>
          <w:b/>
          <w:lang w:val="en-US"/>
        </w:rPr>
        <w:t xml:space="preserve">Candidate </w:t>
      </w:r>
      <w:r w:rsidR="00796ABB">
        <w:rPr>
          <w:b/>
          <w:lang w:val="en-US"/>
        </w:rPr>
        <w:t xml:space="preserve">RAN4 led </w:t>
      </w:r>
      <w:r w:rsidR="007A6BEB">
        <w:rPr>
          <w:b/>
          <w:lang w:val="en-US"/>
        </w:rPr>
        <w:t>NTN topics for Rel-20 5G Advanced</w:t>
      </w:r>
    </w:p>
    <w:p w14:paraId="34992277" w14:textId="2E07CA81" w:rsidR="006E6ED4" w:rsidRPr="00314860" w:rsidRDefault="006E6ED4" w:rsidP="006E6ED4">
      <w:pPr>
        <w:tabs>
          <w:tab w:val="left" w:pos="1800"/>
        </w:tabs>
        <w:spacing w:after="60"/>
        <w:rPr>
          <w:b/>
          <w:bCs/>
          <w:lang w:val="en-US"/>
        </w:rPr>
      </w:pPr>
      <w:r w:rsidRPr="00314860">
        <w:rPr>
          <w:b/>
          <w:bCs/>
          <w:lang w:val="en-US"/>
        </w:rPr>
        <w:t xml:space="preserve">Source: </w:t>
      </w:r>
      <w:r w:rsidRPr="00314860">
        <w:rPr>
          <w:lang w:val="en-US"/>
        </w:rPr>
        <w:tab/>
      </w:r>
      <w:r w:rsidR="00FF573D" w:rsidRPr="00314860">
        <w:rPr>
          <w:b/>
          <w:bCs/>
          <w:lang w:val="en-US"/>
        </w:rPr>
        <w:t>Thales</w:t>
      </w:r>
    </w:p>
    <w:p w14:paraId="71CBF656" w14:textId="77777777" w:rsidR="006E6ED4" w:rsidRPr="007A6BEB" w:rsidRDefault="006E6ED4" w:rsidP="006E6ED4">
      <w:pPr>
        <w:tabs>
          <w:tab w:val="left" w:pos="1800"/>
        </w:tabs>
        <w:spacing w:after="60"/>
        <w:rPr>
          <w:b/>
          <w:bCs/>
          <w:lang w:val="en-US"/>
        </w:rPr>
      </w:pPr>
      <w:r w:rsidRPr="007A6BEB">
        <w:rPr>
          <w:b/>
          <w:bCs/>
          <w:lang w:val="en-US"/>
        </w:rPr>
        <w:t>Type:</w:t>
      </w:r>
      <w:r w:rsidRPr="007A6BEB">
        <w:rPr>
          <w:lang w:val="en-US"/>
        </w:rPr>
        <w:tab/>
      </w:r>
      <w:r w:rsidRPr="007A6BEB">
        <w:rPr>
          <w:b/>
          <w:bCs/>
          <w:lang w:val="en-U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3F648D57" w14:textId="1A222555" w:rsidR="006E6ED4" w:rsidRPr="0042259E"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D11687">
        <w:rPr>
          <w:b/>
          <w:lang w:val="en-US"/>
        </w:rPr>
        <w:t>15.</w:t>
      </w:r>
      <w:r w:rsidR="004F46CA">
        <w:rPr>
          <w:b/>
          <w:lang w:val="en-US"/>
        </w:rPr>
        <w:t>3</w:t>
      </w:r>
      <w:r w:rsidR="00D11687">
        <w:rPr>
          <w:b/>
          <w:lang w:val="en-US"/>
        </w:rPr>
        <w:t xml:space="preserve"> - </w:t>
      </w:r>
      <w:r w:rsidR="004F46CA">
        <w:rPr>
          <w:b/>
          <w:lang w:val="en-US"/>
        </w:rPr>
        <w:t>RAN4 led topics</w:t>
      </w:r>
    </w:p>
    <w:p w14:paraId="0F8F2643" w14:textId="77777777" w:rsidR="006E6ED4" w:rsidRPr="0042259E"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35664C29" w:rsidR="00B62E7B" w:rsidRDefault="004D71E3" w:rsidP="004D563F">
      <w:pPr>
        <w:jc w:val="both"/>
        <w:rPr>
          <w:lang w:val="en-US"/>
        </w:rPr>
      </w:pPr>
      <w:r w:rsidRPr="005D2FB6">
        <w:rPr>
          <w:lang w:val="en-US"/>
        </w:rPr>
        <w:t xml:space="preserve">This document proposes </w:t>
      </w:r>
      <w:r w:rsidR="007A6BEB" w:rsidRPr="005D2FB6">
        <w:rPr>
          <w:lang w:val="en-US"/>
        </w:rPr>
        <w:t xml:space="preserve">to define </w:t>
      </w:r>
      <w:r w:rsidR="005D2FB6" w:rsidRPr="00515C75">
        <w:rPr>
          <w:lang w:val="en-US"/>
        </w:rPr>
        <w:t xml:space="preserve">a number of RAN4 led activities </w:t>
      </w:r>
      <w:r w:rsidR="00703DA5" w:rsidRPr="005D2FB6">
        <w:rPr>
          <w:lang w:val="en-US"/>
        </w:rPr>
        <w:t xml:space="preserve">for </w:t>
      </w:r>
      <w:r w:rsidR="007A6BEB" w:rsidRPr="005D2FB6">
        <w:rPr>
          <w:lang w:val="en-US"/>
        </w:rPr>
        <w:t xml:space="preserve">NR-NTN radio interface as part of Rel-20 5G Advanced </w:t>
      </w:r>
      <w:r w:rsidR="00E557E3" w:rsidRPr="005D2FB6">
        <w:rPr>
          <w:lang w:val="en-US"/>
        </w:rPr>
        <w:t xml:space="preserve">work </w:t>
      </w:r>
      <w:r w:rsidR="005D2FB6" w:rsidRPr="00515C75">
        <w:rPr>
          <w:lang w:val="en-US"/>
        </w:rPr>
        <w:t>plan</w:t>
      </w:r>
      <w:r w:rsidRPr="005D2FB6">
        <w:rPr>
          <w:lang w:val="en-US"/>
        </w:rPr>
        <w:t>.</w:t>
      </w:r>
    </w:p>
    <w:p w14:paraId="3444F7FD" w14:textId="69A1366F" w:rsidR="00E557E3" w:rsidRDefault="00E557E3" w:rsidP="00E557E3">
      <w:pPr>
        <w:pStyle w:val="Titre1"/>
        <w:pageBreakBefore w:val="0"/>
        <w:ind w:left="431" w:hanging="431"/>
        <w:rPr>
          <w:lang w:val="en-US"/>
        </w:rPr>
      </w:pPr>
      <w:r w:rsidRPr="00391E5B">
        <w:rPr>
          <w:lang w:val="en-US"/>
        </w:rPr>
        <w:t xml:space="preserve">Candidate </w:t>
      </w:r>
      <w:r w:rsidR="005D2FB6">
        <w:rPr>
          <w:lang w:val="en-US"/>
        </w:rPr>
        <w:t xml:space="preserve">RAN4 led </w:t>
      </w:r>
      <w:r w:rsidRPr="00391E5B">
        <w:rPr>
          <w:lang w:val="en-US"/>
        </w:rPr>
        <w:t xml:space="preserve">NR-NTN </w:t>
      </w:r>
      <w:r w:rsidR="005D2FB6">
        <w:rPr>
          <w:lang w:val="en-US"/>
        </w:rPr>
        <w:t>activities for</w:t>
      </w:r>
      <w:r w:rsidR="005D2FB6" w:rsidRPr="00391E5B">
        <w:rPr>
          <w:lang w:val="en-US"/>
        </w:rPr>
        <w:t xml:space="preserve"> </w:t>
      </w:r>
      <w:r w:rsidRPr="00391E5B">
        <w:rPr>
          <w:lang w:val="en-US"/>
        </w:rPr>
        <w:t xml:space="preserve">Rel-20 5G Advanced </w:t>
      </w:r>
    </w:p>
    <w:p w14:paraId="7F529B80" w14:textId="6C97034C" w:rsidR="002870DB" w:rsidRDefault="002870DB" w:rsidP="00515C75">
      <w:pPr>
        <w:pStyle w:val="Titre2"/>
        <w:rPr>
          <w:lang w:val="en-US"/>
        </w:rPr>
      </w:pPr>
      <w:r>
        <w:rPr>
          <w:lang w:val="en-US"/>
        </w:rPr>
        <w:t>Context</w:t>
      </w:r>
    </w:p>
    <w:p w14:paraId="3A733BE5" w14:textId="24CAEC1F" w:rsidR="00E34DF5" w:rsidRPr="00E34DF5" w:rsidRDefault="00E557E3" w:rsidP="00515C75">
      <w:pPr>
        <w:rPr>
          <w:lang w:val="en-US"/>
        </w:rPr>
      </w:pPr>
      <w:r>
        <w:rPr>
          <w:lang w:val="en-US"/>
        </w:rPr>
        <w:t xml:space="preserve">The following </w:t>
      </w:r>
      <w:r w:rsidRPr="00E557E3">
        <w:rPr>
          <w:lang w:val="en-US"/>
        </w:rPr>
        <w:t xml:space="preserve">topics </w:t>
      </w:r>
      <w:r>
        <w:rPr>
          <w:lang w:val="en-US"/>
        </w:rPr>
        <w:t xml:space="preserve">have been identified for </w:t>
      </w:r>
      <w:r w:rsidR="00485524">
        <w:rPr>
          <w:lang w:val="en-US"/>
        </w:rPr>
        <w:t xml:space="preserve">RAN4 led </w:t>
      </w:r>
      <w:r>
        <w:rPr>
          <w:lang w:val="en-US"/>
        </w:rPr>
        <w:t>NR-NTN</w:t>
      </w:r>
      <w:r w:rsidR="00485524">
        <w:rPr>
          <w:lang w:val="en-US"/>
        </w:rPr>
        <w:t xml:space="preserve"> activity </w:t>
      </w:r>
      <w:r w:rsidR="00E34DF5">
        <w:rPr>
          <w:lang w:val="en-US"/>
        </w:rPr>
        <w:t>by different companies.</w:t>
      </w:r>
    </w:p>
    <w:p w14:paraId="6576BCF3" w14:textId="5340DA95" w:rsidR="00C920AD" w:rsidRPr="00391E5B" w:rsidRDefault="00C920AD" w:rsidP="00E557E3">
      <w:pPr>
        <w:rPr>
          <w:lang w:val="en-US"/>
        </w:rPr>
      </w:pPr>
      <w:r>
        <w:rPr>
          <w:lang w:val="en-US"/>
        </w:rPr>
        <w:t>This includes the support of</w:t>
      </w:r>
    </w:p>
    <w:p w14:paraId="4E5E14DF" w14:textId="38236F68" w:rsidR="00E557E3" w:rsidRPr="00391E5B" w:rsidRDefault="002C52F5" w:rsidP="00255351">
      <w:pPr>
        <w:pStyle w:val="Paragraphedeliste"/>
        <w:numPr>
          <w:ilvl w:val="0"/>
          <w:numId w:val="24"/>
        </w:numPr>
        <w:spacing w:after="160" w:line="259" w:lineRule="auto"/>
        <w:rPr>
          <w:lang w:val="en-US"/>
        </w:rPr>
      </w:pPr>
      <w:r>
        <w:rPr>
          <w:lang w:val="en-US"/>
        </w:rPr>
        <w:t xml:space="preserve">Support of </w:t>
      </w:r>
      <w:r w:rsidR="00255351" w:rsidRPr="00255351">
        <w:rPr>
          <w:lang w:val="en-US"/>
        </w:rPr>
        <w:t xml:space="preserve">ultra-small </w:t>
      </w:r>
      <w:r w:rsidR="00E557E3" w:rsidRPr="00391E5B">
        <w:rPr>
          <w:lang w:val="en-US"/>
        </w:rPr>
        <w:t>Mobile VSAT: definition of type 6 and/or additional type in above 10 GHz band</w:t>
      </w:r>
    </w:p>
    <w:p w14:paraId="0A539AC3" w14:textId="77777777" w:rsidR="00E557E3" w:rsidRPr="0035021B" w:rsidRDefault="00E557E3" w:rsidP="00E557E3">
      <w:pPr>
        <w:pStyle w:val="Paragraphedeliste"/>
        <w:numPr>
          <w:ilvl w:val="0"/>
          <w:numId w:val="24"/>
        </w:numPr>
        <w:spacing w:after="160" w:line="259" w:lineRule="auto"/>
      </w:pPr>
      <w:proofErr w:type="spellStart"/>
      <w:r w:rsidRPr="0035021B">
        <w:t>Testing</w:t>
      </w:r>
      <w:proofErr w:type="spellEnd"/>
      <w:r w:rsidRPr="0035021B">
        <w:t xml:space="preserve"> </w:t>
      </w:r>
      <w:proofErr w:type="spellStart"/>
      <w:r w:rsidRPr="0035021B">
        <w:t>metho</w:t>
      </w:r>
      <w:r>
        <w:t>do</w:t>
      </w:r>
      <w:r w:rsidRPr="0035021B">
        <w:t>logy</w:t>
      </w:r>
      <w:proofErr w:type="spellEnd"/>
      <w:r w:rsidRPr="0035021B">
        <w:t xml:space="preserve"> for VSAT</w:t>
      </w:r>
    </w:p>
    <w:p w14:paraId="6DD6CDE7" w14:textId="77777777" w:rsidR="00E557E3" w:rsidRPr="00391E5B" w:rsidRDefault="00E557E3" w:rsidP="00E557E3">
      <w:pPr>
        <w:pStyle w:val="Paragraphedeliste"/>
        <w:numPr>
          <w:ilvl w:val="0"/>
          <w:numId w:val="24"/>
        </w:numPr>
        <w:spacing w:after="160" w:line="259" w:lineRule="auto"/>
        <w:rPr>
          <w:lang w:val="en-US"/>
        </w:rPr>
      </w:pPr>
      <w:r w:rsidRPr="00391E5B">
        <w:rPr>
          <w:lang w:val="en-US"/>
        </w:rPr>
        <w:t xml:space="preserve">SAN Multi-Standard Radio (MSR) radio transmission and reception. </w:t>
      </w:r>
    </w:p>
    <w:p w14:paraId="64A61851" w14:textId="005BE822" w:rsidR="00E557E3" w:rsidRDefault="00E557E3" w:rsidP="00E557E3">
      <w:pPr>
        <w:pStyle w:val="Paragraphedeliste"/>
        <w:numPr>
          <w:ilvl w:val="0"/>
          <w:numId w:val="24"/>
        </w:numPr>
        <w:spacing w:after="160" w:line="259" w:lineRule="auto"/>
        <w:rPr>
          <w:lang w:val="en-US"/>
        </w:rPr>
      </w:pPr>
      <w:r w:rsidRPr="009D2392">
        <w:rPr>
          <w:lang w:val="en-US"/>
        </w:rPr>
        <w:t>Intra SAN Carrier aggregation (at both SAN and UE level)</w:t>
      </w:r>
    </w:p>
    <w:p w14:paraId="3EF99B31" w14:textId="77777777" w:rsidR="00E557E3" w:rsidRDefault="00E557E3" w:rsidP="00B62E7B">
      <w:pPr>
        <w:rPr>
          <w:lang w:val="en-US"/>
        </w:rPr>
      </w:pPr>
    </w:p>
    <w:p w14:paraId="5E5B5A1C" w14:textId="494E0B61" w:rsidR="00E557E3" w:rsidRDefault="00E557E3" w:rsidP="00E557E3">
      <w:pPr>
        <w:pStyle w:val="Titre2"/>
        <w:rPr>
          <w:lang w:val="en-US"/>
        </w:rPr>
      </w:pPr>
      <w:r>
        <w:rPr>
          <w:lang w:val="en-US"/>
        </w:rPr>
        <w:t>Proposed</w:t>
      </w:r>
      <w:r w:rsidRPr="00391E5B">
        <w:rPr>
          <w:lang w:val="en-US"/>
        </w:rPr>
        <w:t xml:space="preserve"> </w:t>
      </w:r>
      <w:r w:rsidR="00515C75">
        <w:rPr>
          <w:lang w:val="en-US"/>
        </w:rPr>
        <w:t xml:space="preserve">RAN4 led </w:t>
      </w:r>
      <w:r>
        <w:rPr>
          <w:lang w:val="en-US"/>
        </w:rPr>
        <w:t>NR-NTN enhancements for Rel-20 5G advanced</w:t>
      </w:r>
    </w:p>
    <w:p w14:paraId="32EBC4B5" w14:textId="69A0F75F" w:rsidR="00D90A03" w:rsidRPr="00E34DF5" w:rsidRDefault="002C52F5" w:rsidP="00D90A03">
      <w:pPr>
        <w:pStyle w:val="Titre3"/>
        <w:rPr>
          <w:lang w:val="en-US"/>
        </w:rPr>
      </w:pPr>
      <w:r>
        <w:rPr>
          <w:lang w:val="en-US"/>
        </w:rPr>
        <w:t xml:space="preserve">Support of </w:t>
      </w:r>
      <w:r w:rsidR="00255351">
        <w:rPr>
          <w:lang w:val="en-US"/>
        </w:rPr>
        <w:t>ultra-small mobile VSAT</w:t>
      </w:r>
    </w:p>
    <w:p w14:paraId="7FE4226D" w14:textId="13B9D9F0" w:rsidR="00A333AD" w:rsidRPr="0092048E" w:rsidRDefault="00D60403" w:rsidP="00A333AD">
      <w:pPr>
        <w:pStyle w:val="Titre4"/>
      </w:pPr>
      <w:r>
        <w:t>Justification</w:t>
      </w:r>
    </w:p>
    <w:p w14:paraId="349F8BC2" w14:textId="0B4539C1" w:rsidR="00255351" w:rsidRPr="00231EF1" w:rsidRDefault="00255351" w:rsidP="00255351">
      <w:pPr>
        <w:rPr>
          <w:lang w:val="en-US" w:eastAsia="zh-CN"/>
        </w:rPr>
      </w:pPr>
      <w:r w:rsidRPr="00231EF1">
        <w:rPr>
          <w:lang w:val="en-US" w:eastAsia="zh-CN"/>
        </w:rPr>
        <w:t xml:space="preserve">This </w:t>
      </w:r>
      <w:r>
        <w:rPr>
          <w:lang w:val="en-US" w:eastAsia="zh-CN"/>
        </w:rPr>
        <w:t>activity</w:t>
      </w:r>
      <w:r w:rsidRPr="00231EF1">
        <w:rPr>
          <w:lang w:val="en-US" w:eastAsia="zh-CN"/>
        </w:rPr>
        <w:t xml:space="preserve"> aims at defining the requirements for the support of a new “ultra-small Mobile VSAT” (equivalent aperture &lt; 20 x 20 cm) operating with NGSO constellation in above 10 GHz bands allocated to satellite services (i.e. for both </w:t>
      </w:r>
      <w:proofErr w:type="spellStart"/>
      <w:r w:rsidRPr="00231EF1">
        <w:rPr>
          <w:lang w:val="en-US" w:eastAsia="zh-CN"/>
        </w:rPr>
        <w:t>Ka</w:t>
      </w:r>
      <w:proofErr w:type="spellEnd"/>
      <w:r w:rsidRPr="00231EF1">
        <w:rPr>
          <w:lang w:val="en-US" w:eastAsia="zh-CN"/>
        </w:rPr>
        <w:t xml:space="preserve"> and Ku-band), as requested by the verticals in [1].</w:t>
      </w:r>
    </w:p>
    <w:p w14:paraId="67C16505" w14:textId="77777777" w:rsidR="00255351" w:rsidRPr="00231EF1" w:rsidRDefault="00255351" w:rsidP="00255351">
      <w:pPr>
        <w:ind w:left="720"/>
        <w:jc w:val="both"/>
        <w:rPr>
          <w:lang w:val="en-US"/>
        </w:rPr>
      </w:pPr>
      <w:r w:rsidRPr="00231EF1">
        <w:rPr>
          <w:iCs/>
          <w:lang w:val="en-US"/>
        </w:rPr>
        <w:t xml:space="preserve">Note 1: Mobile VSAT are referred in ITU-R as </w:t>
      </w:r>
      <w:r w:rsidRPr="00231EF1">
        <w:rPr>
          <w:lang w:val="en-US"/>
        </w:rPr>
        <w:t>Earth Station in Motion (ESIM) which is defined as “an Earth station that is placed on a moving platform, such as a ship at sea, a moving train, or an aircraft in flight” [2]</w:t>
      </w:r>
    </w:p>
    <w:p w14:paraId="014D5EF7" w14:textId="77777777" w:rsidR="00255351" w:rsidRPr="00231EF1" w:rsidRDefault="00255351" w:rsidP="00255351">
      <w:pPr>
        <w:rPr>
          <w:lang w:val="en-US"/>
        </w:rPr>
      </w:pPr>
      <w:r w:rsidRPr="00231EF1">
        <w:rPr>
          <w:lang w:val="en-US"/>
        </w:rPr>
        <w:lastRenderedPageBreak/>
        <w:t xml:space="preserve">Such ultra-small </w:t>
      </w:r>
      <w:r w:rsidRPr="00231EF1">
        <w:rPr>
          <w:rFonts w:hint="eastAsia"/>
          <w:lang w:val="en-US"/>
        </w:rPr>
        <w:t>Mobile VSAT</w:t>
      </w:r>
      <w:r w:rsidRPr="00231EF1">
        <w:rPr>
          <w:lang w:val="en-US"/>
        </w:rPr>
        <w:t xml:space="preserve"> is intended to be installed </w:t>
      </w:r>
      <w:r w:rsidRPr="00231EF1">
        <w:rPr>
          <w:rFonts w:eastAsia="Times New Roman"/>
          <w:lang w:val="en-US" w:eastAsia="ko-KR"/>
        </w:rPr>
        <w:t>on</w:t>
      </w:r>
      <w:r w:rsidRPr="00231EF1">
        <w:rPr>
          <w:lang w:val="en-US"/>
        </w:rPr>
        <w:t xml:space="preserve"> different moving platforms</w:t>
      </w:r>
      <w:r w:rsidRPr="00231EF1">
        <w:rPr>
          <w:rFonts w:eastAsia="Times New Roman" w:hint="eastAsia"/>
          <w:lang w:val="en-US" w:eastAsia="ko-KR"/>
        </w:rPr>
        <w:t>,</w:t>
      </w:r>
      <w:r w:rsidRPr="00231EF1">
        <w:rPr>
          <w:lang w:val="en-US"/>
        </w:rPr>
        <w:t xml:space="preserve"> </w:t>
      </w:r>
      <w:r w:rsidRPr="00231EF1">
        <w:rPr>
          <w:rFonts w:eastAsia="Times New Roman" w:hint="eastAsia"/>
          <w:lang w:val="en-US" w:eastAsia="ko-KR"/>
        </w:rPr>
        <w:t>including</w:t>
      </w:r>
      <w:r w:rsidRPr="00231EF1">
        <w:rPr>
          <w:rFonts w:hint="eastAsia"/>
          <w:lang w:val="en-US"/>
        </w:rPr>
        <w:t xml:space="preserve"> aircraft, ships, and </w:t>
      </w:r>
      <w:r w:rsidRPr="00231EF1">
        <w:rPr>
          <w:lang w:val="en-US"/>
        </w:rPr>
        <w:t xml:space="preserve">different types of </w:t>
      </w:r>
      <w:r w:rsidRPr="00231EF1">
        <w:rPr>
          <w:rFonts w:hint="eastAsia"/>
          <w:lang w:val="en-US"/>
        </w:rPr>
        <w:t>land vehicles,</w:t>
      </w:r>
      <w:r w:rsidRPr="00231EF1">
        <w:rPr>
          <w:lang w:val="en-US"/>
        </w:rPr>
        <w:t xml:space="preserve"> with stringent size, weight and power constraints to support</w:t>
      </w:r>
      <w:r w:rsidRPr="00231EF1">
        <w:rPr>
          <w:rFonts w:hint="eastAsia"/>
          <w:lang w:val="en-US"/>
        </w:rPr>
        <w:t xml:space="preserve"> </w:t>
      </w:r>
      <w:r w:rsidRPr="00231EF1">
        <w:rPr>
          <w:rFonts w:eastAsia="Times New Roman"/>
          <w:lang w:val="en-US" w:eastAsia="ko-KR"/>
        </w:rPr>
        <w:t xml:space="preserve">data-rich </w:t>
      </w:r>
      <w:r w:rsidRPr="00231EF1">
        <w:rPr>
          <w:lang w:val="en-US"/>
        </w:rPr>
        <w:t>and</w:t>
      </w:r>
      <w:r w:rsidRPr="00231EF1">
        <w:rPr>
          <w:rFonts w:hint="eastAsia"/>
          <w:lang w:val="en-US"/>
        </w:rPr>
        <w:t xml:space="preserve"> reliable connections. The</w:t>
      </w:r>
      <w:r w:rsidRPr="00231EF1">
        <w:rPr>
          <w:lang w:val="en-US"/>
        </w:rPr>
        <w:t xml:space="preserve">y are expected to implement flat panel antenna able to generate </w:t>
      </w:r>
      <w:r w:rsidRPr="00231EF1">
        <w:rPr>
          <w:rFonts w:hint="eastAsia"/>
          <w:lang w:val="en-US"/>
        </w:rPr>
        <w:t xml:space="preserve">electronically steered </w:t>
      </w:r>
      <w:r w:rsidRPr="00231EF1">
        <w:rPr>
          <w:lang w:val="en-US"/>
        </w:rPr>
        <w:t>beams to track</w:t>
      </w:r>
      <w:r w:rsidRPr="00231EF1">
        <w:rPr>
          <w:rFonts w:hint="eastAsia"/>
          <w:lang w:val="en-US"/>
        </w:rPr>
        <w:t xml:space="preserve"> </w:t>
      </w:r>
      <w:r w:rsidRPr="00231EF1">
        <w:rPr>
          <w:lang w:val="en-US"/>
        </w:rPr>
        <w:t xml:space="preserve">the orbiting </w:t>
      </w:r>
      <w:r w:rsidRPr="00231EF1">
        <w:rPr>
          <w:rFonts w:hint="eastAsia"/>
          <w:lang w:val="en-US"/>
        </w:rPr>
        <w:t>satellites.</w:t>
      </w:r>
    </w:p>
    <w:p w14:paraId="1040DDA9" w14:textId="77777777" w:rsidR="00255351" w:rsidRPr="00231EF1" w:rsidRDefault="00255351" w:rsidP="00255351">
      <w:pPr>
        <w:jc w:val="both"/>
        <w:rPr>
          <w:iCs/>
          <w:lang w:val="en-US"/>
        </w:rPr>
      </w:pPr>
      <w:r w:rsidRPr="00231EF1">
        <w:rPr>
          <w:iCs/>
          <w:lang w:val="en-US"/>
        </w:rPr>
        <w:t xml:space="preserve">This new mobile VSAT may require 2 Rx and 1 </w:t>
      </w:r>
      <w:proofErr w:type="spellStart"/>
      <w:r w:rsidRPr="00231EF1">
        <w:rPr>
          <w:iCs/>
          <w:lang w:val="en-US"/>
        </w:rPr>
        <w:t>Tx</w:t>
      </w:r>
      <w:proofErr w:type="spellEnd"/>
      <w:r w:rsidRPr="00231EF1">
        <w:rPr>
          <w:iCs/>
          <w:lang w:val="en-US"/>
        </w:rPr>
        <w:t xml:space="preserve">. The 2 Rx can be used either for </w:t>
      </w:r>
      <w:r w:rsidRPr="00231EF1">
        <w:rPr>
          <w:lang w:val="en-US"/>
        </w:rPr>
        <w:t xml:space="preserve">connectivity with the serving cell (1Rx receiving useful data) and measurement purposes of </w:t>
      </w:r>
      <w:proofErr w:type="spellStart"/>
      <w:r w:rsidRPr="00231EF1">
        <w:rPr>
          <w:lang w:val="en-US"/>
        </w:rPr>
        <w:t>neighbour</w:t>
      </w:r>
      <w:proofErr w:type="spellEnd"/>
      <w:r w:rsidRPr="00231EF1">
        <w:rPr>
          <w:lang w:val="en-US"/>
        </w:rPr>
        <w:t xml:space="preserve"> cell (1 Rx measuring), or either for measurement purposes only during cold start/initial access purposes (2 Rx measuring).</w:t>
      </w:r>
      <w:r w:rsidRPr="00231EF1">
        <w:rPr>
          <w:iCs/>
          <w:lang w:val="en-US"/>
        </w:rPr>
        <w:t xml:space="preserve"> </w:t>
      </w:r>
    </w:p>
    <w:p w14:paraId="23844B27" w14:textId="77777777" w:rsidR="00255351" w:rsidRPr="00231EF1" w:rsidRDefault="00255351" w:rsidP="00255351">
      <w:pPr>
        <w:jc w:val="both"/>
        <w:rPr>
          <w:iCs/>
          <w:lang w:val="en-US"/>
        </w:rPr>
      </w:pPr>
      <w:r w:rsidRPr="00231EF1">
        <w:rPr>
          <w:iCs/>
          <w:lang w:val="en-US"/>
        </w:rPr>
        <w:t>The maximum speed shall be up to 1500 km/h (maximum relative speed with respect to the ground for commercial aircraft) as explained per [1]. The connectivity shall cover at least LEO@600km and LEO@1200km NGSO types.</w:t>
      </w:r>
    </w:p>
    <w:p w14:paraId="2543E356" w14:textId="77777777" w:rsidR="00255351" w:rsidRPr="00231EF1" w:rsidRDefault="00255351" w:rsidP="00255351">
      <w:pPr>
        <w:ind w:left="720"/>
        <w:jc w:val="both"/>
        <w:rPr>
          <w:iCs/>
          <w:lang w:val="en-US"/>
        </w:rPr>
      </w:pPr>
      <w:r w:rsidRPr="00231EF1">
        <w:rPr>
          <w:iCs/>
          <w:lang w:val="en-US"/>
        </w:rPr>
        <w:t>Note 2: The Release 18 NTN work items scope for operation above 10 GHz, does not support Mobile VSATs (ESIMs) connected to NGSO Satellites</w:t>
      </w:r>
      <w:r w:rsidRPr="00231EF1">
        <w:rPr>
          <w:lang w:val="en-US"/>
        </w:rPr>
        <w:t xml:space="preserve"> in 3GPP previous releases [3]</w:t>
      </w:r>
      <w:r w:rsidRPr="00231EF1">
        <w:rPr>
          <w:iCs/>
          <w:lang w:val="en-US"/>
        </w:rPr>
        <w:t xml:space="preserve">. However, since the WRC-2023, such mobile VSAT can operate with NGSO in all portions of </w:t>
      </w:r>
      <w:proofErr w:type="spellStart"/>
      <w:r w:rsidRPr="00231EF1">
        <w:rPr>
          <w:iCs/>
          <w:lang w:val="en-US"/>
        </w:rPr>
        <w:t>Ka</w:t>
      </w:r>
      <w:proofErr w:type="spellEnd"/>
      <w:r w:rsidRPr="00231EF1">
        <w:rPr>
          <w:iCs/>
          <w:lang w:val="en-US"/>
        </w:rPr>
        <w:t xml:space="preserve"> band and Ku band.</w:t>
      </w:r>
    </w:p>
    <w:p w14:paraId="38751300" w14:textId="77777777" w:rsidR="00255351" w:rsidRPr="00231EF1" w:rsidRDefault="00255351" w:rsidP="00255351">
      <w:pPr>
        <w:jc w:val="both"/>
        <w:rPr>
          <w:iCs/>
          <w:lang w:val="en-US"/>
        </w:rPr>
      </w:pPr>
    </w:p>
    <w:p w14:paraId="7E66C465" w14:textId="77777777" w:rsidR="00255351" w:rsidRPr="00231EF1" w:rsidRDefault="00255351" w:rsidP="00255351">
      <w:pPr>
        <w:jc w:val="both"/>
        <w:rPr>
          <w:b/>
          <w:iCs/>
          <w:lang w:val="en-US"/>
        </w:rPr>
      </w:pPr>
      <w:r w:rsidRPr="00231EF1">
        <w:rPr>
          <w:b/>
          <w:iCs/>
          <w:lang w:val="en-US"/>
        </w:rPr>
        <w:t>Related references:</w:t>
      </w:r>
    </w:p>
    <w:p w14:paraId="478953AC" w14:textId="77777777" w:rsidR="00255351" w:rsidRPr="00231EF1" w:rsidRDefault="00255351" w:rsidP="00255351">
      <w:pPr>
        <w:jc w:val="both"/>
        <w:rPr>
          <w:iCs/>
          <w:lang w:val="en-US"/>
        </w:rPr>
      </w:pPr>
      <w:r w:rsidRPr="00231EF1">
        <w:rPr>
          <w:iCs/>
          <w:lang w:val="en-US"/>
        </w:rPr>
        <w:t xml:space="preserve">- [1] </w:t>
      </w:r>
      <w:r w:rsidRPr="00231EF1">
        <w:rPr>
          <w:lang w:val="en-US"/>
        </w:rPr>
        <w:t>RP-242638</w:t>
      </w:r>
      <w:r w:rsidRPr="00231EF1">
        <w:rPr>
          <w:iCs/>
          <w:lang w:val="en-US"/>
        </w:rPr>
        <w:t>, Market considerations on Mobile VSAT operating with NGSO/GSO from verticals point view, Source: Airbus, Thales et all.</w:t>
      </w:r>
    </w:p>
    <w:p w14:paraId="7A5BC66C" w14:textId="77777777" w:rsidR="00255351" w:rsidRPr="00231EF1" w:rsidRDefault="00255351" w:rsidP="00255351">
      <w:pPr>
        <w:jc w:val="both"/>
        <w:rPr>
          <w:iCs/>
          <w:lang w:val="en-US"/>
        </w:rPr>
      </w:pPr>
      <w:r w:rsidRPr="00231EF1">
        <w:rPr>
          <w:iCs/>
          <w:lang w:val="en-US"/>
        </w:rPr>
        <w:t xml:space="preserve">- [2] Satellite issues: Earth Station in Motion (ESIM) </w:t>
      </w:r>
      <w:hyperlink r:id="rId7" w:history="1">
        <w:r w:rsidRPr="00231EF1">
          <w:rPr>
            <w:iCs/>
            <w:lang w:val="en-US"/>
          </w:rPr>
          <w:t>https://www.itu.int/en/mediacentre/backgrounders/Pages/Earth-stations-in-motion-satellite-issues.aspx</w:t>
        </w:r>
      </w:hyperlink>
    </w:p>
    <w:p w14:paraId="6E09BE7C" w14:textId="2DD80E61" w:rsidR="00A333AD" w:rsidRDefault="00255351" w:rsidP="00255351">
      <w:pPr>
        <w:rPr>
          <w:bdr w:val="none" w:sz="0" w:space="0" w:color="auto" w:frame="1"/>
          <w:lang w:val="en-US" w:eastAsia="en-GB"/>
        </w:rPr>
      </w:pPr>
      <w:r w:rsidRPr="00231EF1">
        <w:rPr>
          <w:iCs/>
          <w:lang w:val="en-US"/>
        </w:rPr>
        <w:t>- [3] 3GPP TS 38.101-5 v18.7.0 NR; User Equipment (UE) radio transmission and reception; Part 5: Satellite access Radio Frequency (RF) and performance requirements.</w:t>
      </w:r>
    </w:p>
    <w:p w14:paraId="63D8671D" w14:textId="77777777" w:rsidR="00A333AD" w:rsidRPr="000F19DD" w:rsidRDefault="00A333AD" w:rsidP="00A333AD">
      <w:pPr>
        <w:rPr>
          <w:bdr w:val="none" w:sz="0" w:space="0" w:color="auto" w:frame="1"/>
          <w:lang w:val="en-US" w:eastAsia="en-GB"/>
        </w:rPr>
      </w:pPr>
    </w:p>
    <w:p w14:paraId="65BD5C45" w14:textId="7C72A6A0" w:rsidR="00A333AD" w:rsidRDefault="00A333AD" w:rsidP="00A333AD">
      <w:pPr>
        <w:pStyle w:val="Titre4"/>
      </w:pPr>
      <w:r w:rsidRPr="0092048E">
        <w:t>Objectives</w:t>
      </w:r>
    </w:p>
    <w:p w14:paraId="62A4602C" w14:textId="4A43EA62" w:rsidR="00231EF1" w:rsidRDefault="00231EF1" w:rsidP="00A333AD">
      <w:pPr>
        <w:pStyle w:val="Titre5"/>
      </w:pPr>
      <w:proofErr w:type="spellStart"/>
      <w:r>
        <w:t>Core</w:t>
      </w:r>
      <w:proofErr w:type="spellEnd"/>
      <w:r>
        <w:t xml:space="preserve"> part</w:t>
      </w:r>
    </w:p>
    <w:p w14:paraId="2A838A51" w14:textId="77777777" w:rsidR="000C3000" w:rsidRPr="000C3000" w:rsidRDefault="000C3000" w:rsidP="000C3000"/>
    <w:p w14:paraId="7E378991" w14:textId="77777777" w:rsidR="00231EF1" w:rsidRPr="00F9766E" w:rsidRDefault="00231EF1" w:rsidP="00231EF1">
      <w:pPr>
        <w:jc w:val="both"/>
        <w:rPr>
          <w:lang w:val="en-US" w:eastAsia="zh-CN"/>
        </w:rPr>
      </w:pPr>
      <w:r w:rsidRPr="00231EF1">
        <w:rPr>
          <w:rFonts w:hint="eastAsia"/>
          <w:lang w:val="en-US" w:eastAsia="zh-CN"/>
        </w:rPr>
        <w:t>T</w:t>
      </w:r>
      <w:r w:rsidRPr="00231EF1">
        <w:rPr>
          <w:lang w:val="en-US" w:eastAsia="zh-CN"/>
        </w:rPr>
        <w:t xml:space="preserve">he objectives of core part for the introduction of an ultra-small Mobile VSAT </w:t>
      </w:r>
      <w:r w:rsidRPr="00247D61">
        <w:rPr>
          <w:lang w:val="en-US"/>
        </w:rPr>
        <w:t>type</w:t>
      </w:r>
      <w:r>
        <w:rPr>
          <w:lang w:val="en-US"/>
        </w:rPr>
        <w:t xml:space="preserve"> </w:t>
      </w:r>
      <w:r w:rsidRPr="00231EF1">
        <w:rPr>
          <w:lang w:val="en-US" w:eastAsia="zh-CN"/>
        </w:rPr>
        <w:t>(equivalent aperture &lt; 20 x 20 cm)</w:t>
      </w:r>
      <w:r>
        <w:rPr>
          <w:lang w:val="en-US"/>
        </w:rPr>
        <w:t xml:space="preserve"> as requested in [1]</w:t>
      </w:r>
      <w:r w:rsidRPr="00247D61">
        <w:rPr>
          <w:lang w:val="en-US"/>
        </w:rPr>
        <w:t xml:space="preserve"> UE</w:t>
      </w:r>
      <w:r>
        <w:rPr>
          <w:lang w:val="en-US"/>
        </w:rPr>
        <w:t>s</w:t>
      </w:r>
      <w:r w:rsidRPr="00231EF1">
        <w:rPr>
          <w:lang w:val="en-US"/>
        </w:rPr>
        <w:t xml:space="preserve"> </w:t>
      </w:r>
      <w:r w:rsidRPr="00231EF1">
        <w:rPr>
          <w:lang w:val="en-US" w:eastAsia="zh-CN"/>
        </w:rPr>
        <w:t xml:space="preserve">for NR_NTN </w:t>
      </w:r>
      <w:r w:rsidRPr="00231EF1">
        <w:rPr>
          <w:lang w:val="en-US"/>
        </w:rPr>
        <w:t>(Non-Terrestrial Networks)</w:t>
      </w:r>
      <w:r w:rsidRPr="00231EF1">
        <w:rPr>
          <w:lang w:val="en-US" w:eastAsia="zh-CN"/>
        </w:rPr>
        <w:t xml:space="preserve"> operating with NGSO in satellite service allocated bands in above 10 GHz:</w:t>
      </w:r>
    </w:p>
    <w:p w14:paraId="33A56FB2" w14:textId="77777777" w:rsidR="00231EF1" w:rsidRPr="00231EF1" w:rsidRDefault="00231EF1" w:rsidP="00231EF1">
      <w:pPr>
        <w:pStyle w:val="Paragraphedeliste"/>
        <w:widowControl w:val="0"/>
        <w:numPr>
          <w:ilvl w:val="0"/>
          <w:numId w:val="43"/>
        </w:numPr>
        <w:spacing w:after="0" w:line="240" w:lineRule="auto"/>
        <w:contextualSpacing w:val="0"/>
        <w:jc w:val="both"/>
        <w:rPr>
          <w:rFonts w:ascii="Times New Roman" w:hAnsi="Times New Roman"/>
          <w:sz w:val="20"/>
          <w:szCs w:val="20"/>
          <w:lang w:val="en-US"/>
        </w:rPr>
      </w:pPr>
      <w:r w:rsidRPr="00231EF1">
        <w:rPr>
          <w:rFonts w:ascii="Times New Roman" w:hAnsi="Times New Roman"/>
          <w:sz w:val="20"/>
          <w:szCs w:val="20"/>
          <w:lang w:val="en-US"/>
        </w:rPr>
        <w:t xml:space="preserve">Specify RF requirements for the ultra-small Mobile VSAT for NR NTN in all </w:t>
      </w:r>
      <w:proofErr w:type="spellStart"/>
      <w:r w:rsidRPr="00231EF1">
        <w:rPr>
          <w:rFonts w:ascii="Times New Roman" w:hAnsi="Times New Roman"/>
          <w:sz w:val="20"/>
          <w:szCs w:val="20"/>
          <w:lang w:val="en-US"/>
        </w:rPr>
        <w:t>Ka</w:t>
      </w:r>
      <w:proofErr w:type="spellEnd"/>
      <w:r w:rsidRPr="00231EF1">
        <w:rPr>
          <w:rFonts w:ascii="Times New Roman" w:hAnsi="Times New Roman"/>
          <w:sz w:val="20"/>
          <w:szCs w:val="20"/>
          <w:lang w:val="en-US"/>
        </w:rPr>
        <w:t>-bands (e.g. n512, n511, n510) and all Ku-bands (e.g. n5xx, n2xx) allocated to NTN satellite services</w:t>
      </w:r>
    </w:p>
    <w:p w14:paraId="6CBAC86B" w14:textId="77777777" w:rsidR="00231EF1" w:rsidRPr="00231EF1" w:rsidRDefault="00231EF1" w:rsidP="00231EF1">
      <w:pPr>
        <w:pStyle w:val="Paragraphedeliste"/>
        <w:widowControl w:val="0"/>
        <w:numPr>
          <w:ilvl w:val="1"/>
          <w:numId w:val="43"/>
        </w:numPr>
        <w:spacing w:after="0" w:line="240" w:lineRule="auto"/>
        <w:contextualSpacing w:val="0"/>
        <w:jc w:val="both"/>
        <w:rPr>
          <w:rFonts w:ascii="Times New Roman" w:hAnsi="Times New Roman"/>
          <w:sz w:val="20"/>
          <w:szCs w:val="20"/>
          <w:lang w:val="en-US"/>
        </w:rPr>
      </w:pPr>
      <w:r w:rsidRPr="00231EF1">
        <w:rPr>
          <w:rFonts w:ascii="Times New Roman" w:hAnsi="Times New Roman"/>
          <w:sz w:val="20"/>
          <w:szCs w:val="20"/>
          <w:lang w:val="en-US"/>
        </w:rPr>
        <w:t xml:space="preserve">Necessary mobile VSAT </w:t>
      </w:r>
      <w:proofErr w:type="spellStart"/>
      <w:r w:rsidRPr="00231EF1">
        <w:rPr>
          <w:rFonts w:ascii="Times New Roman" w:hAnsi="Times New Roman"/>
          <w:sz w:val="20"/>
          <w:szCs w:val="20"/>
          <w:lang w:val="en-US"/>
        </w:rPr>
        <w:t>Tx</w:t>
      </w:r>
      <w:proofErr w:type="spellEnd"/>
      <w:r w:rsidRPr="00231EF1">
        <w:rPr>
          <w:rFonts w:ascii="Times New Roman" w:hAnsi="Times New Roman"/>
          <w:sz w:val="20"/>
          <w:szCs w:val="20"/>
          <w:lang w:val="en-US"/>
        </w:rPr>
        <w:t xml:space="preserve">/Rx requirements (if any) </w:t>
      </w:r>
    </w:p>
    <w:p w14:paraId="54A79905" w14:textId="76A90B96" w:rsidR="00231EF1" w:rsidRPr="00231EF1" w:rsidRDefault="00231EF1" w:rsidP="00231EF1">
      <w:pPr>
        <w:pStyle w:val="Paragraphedeliste"/>
        <w:widowControl w:val="0"/>
        <w:numPr>
          <w:ilvl w:val="2"/>
          <w:numId w:val="43"/>
        </w:numPr>
        <w:spacing w:after="0" w:line="240" w:lineRule="auto"/>
        <w:contextualSpacing w:val="0"/>
        <w:jc w:val="both"/>
        <w:rPr>
          <w:rFonts w:ascii="Times New Roman" w:hAnsi="Times New Roman"/>
          <w:sz w:val="20"/>
          <w:szCs w:val="20"/>
          <w:lang w:val="en-US"/>
        </w:rPr>
      </w:pPr>
      <w:r w:rsidRPr="00231EF1">
        <w:rPr>
          <w:rFonts w:ascii="Times New Roman" w:hAnsi="Times New Roman"/>
          <w:sz w:val="20"/>
          <w:szCs w:val="20"/>
          <w:lang w:val="en-US"/>
        </w:rPr>
        <w:t xml:space="preserve">to define VSAT Type 6 for the ultra-small Mobile VSAT communicating with NGSO </w:t>
      </w:r>
      <w:r w:rsidR="00267C94">
        <w:rPr>
          <w:rFonts w:ascii="Times New Roman" w:hAnsi="Times New Roman"/>
          <w:sz w:val="20"/>
          <w:szCs w:val="20"/>
          <w:lang w:val="en-US"/>
        </w:rPr>
        <w:t>(LEO, MEO)</w:t>
      </w:r>
      <w:r w:rsidRPr="00231EF1">
        <w:rPr>
          <w:rFonts w:ascii="Times New Roman" w:hAnsi="Times New Roman"/>
          <w:sz w:val="20"/>
          <w:szCs w:val="20"/>
          <w:lang w:val="en-US"/>
        </w:rPr>
        <w:t xml:space="preserve">, in both Ku and </w:t>
      </w:r>
      <w:proofErr w:type="spellStart"/>
      <w:r w:rsidRPr="00231EF1">
        <w:rPr>
          <w:rFonts w:ascii="Times New Roman" w:hAnsi="Times New Roman"/>
          <w:sz w:val="20"/>
          <w:szCs w:val="20"/>
          <w:lang w:val="en-US"/>
        </w:rPr>
        <w:t>Ka</w:t>
      </w:r>
      <w:proofErr w:type="spellEnd"/>
      <w:r w:rsidRPr="00231EF1">
        <w:rPr>
          <w:rFonts w:ascii="Times New Roman" w:hAnsi="Times New Roman"/>
          <w:sz w:val="20"/>
          <w:szCs w:val="20"/>
          <w:lang w:val="en-US"/>
        </w:rPr>
        <w:t>-band, based on the RF characteristics of Fixed VSAT Type 3 (See table 9.2.1.0-1 in TS 38.101-5)</w:t>
      </w:r>
    </w:p>
    <w:p w14:paraId="3CA6413D" w14:textId="77777777" w:rsidR="00231EF1" w:rsidRPr="00231EF1" w:rsidRDefault="00231EF1" w:rsidP="00231EF1">
      <w:pPr>
        <w:pStyle w:val="Paragraphedeliste"/>
        <w:widowControl w:val="0"/>
        <w:numPr>
          <w:ilvl w:val="2"/>
          <w:numId w:val="43"/>
        </w:numPr>
        <w:spacing w:after="0" w:line="240" w:lineRule="auto"/>
        <w:contextualSpacing w:val="0"/>
        <w:jc w:val="both"/>
        <w:rPr>
          <w:rFonts w:ascii="Times New Roman" w:hAnsi="Times New Roman"/>
          <w:sz w:val="20"/>
          <w:szCs w:val="20"/>
          <w:lang w:val="en-US"/>
        </w:rPr>
      </w:pPr>
      <w:r w:rsidRPr="00231EF1">
        <w:rPr>
          <w:rFonts w:ascii="Times New Roman" w:hAnsi="Times New Roman"/>
          <w:sz w:val="20"/>
          <w:szCs w:val="20"/>
          <w:lang w:val="en-US"/>
        </w:rPr>
        <w:t>Note 1: The minimum performance values from existing VSAT Type 3 and 5 are including but are not limited to:</w:t>
      </w:r>
    </w:p>
    <w:p w14:paraId="512194A1" w14:textId="77777777" w:rsidR="00231EF1" w:rsidRDefault="00231EF1" w:rsidP="00231EF1">
      <w:pPr>
        <w:pStyle w:val="Paragraphedeliste"/>
        <w:widowControl w:val="0"/>
        <w:numPr>
          <w:ilvl w:val="4"/>
          <w:numId w:val="43"/>
        </w:numPr>
        <w:spacing w:after="0" w:line="240" w:lineRule="auto"/>
        <w:contextualSpacing w:val="0"/>
        <w:jc w:val="both"/>
        <w:rPr>
          <w:rFonts w:ascii="Times New Roman" w:hAnsi="Times New Roman"/>
          <w:sz w:val="20"/>
          <w:szCs w:val="20"/>
        </w:rPr>
      </w:pPr>
      <w:r w:rsidRPr="007A175A">
        <w:rPr>
          <w:rFonts w:ascii="Times New Roman" w:hAnsi="Times New Roman"/>
          <w:sz w:val="20"/>
          <w:szCs w:val="20"/>
        </w:rPr>
        <w:t xml:space="preserve">Minimum </w:t>
      </w:r>
      <w:proofErr w:type="spellStart"/>
      <w:r w:rsidRPr="007A175A">
        <w:rPr>
          <w:rFonts w:ascii="Times New Roman" w:hAnsi="Times New Roman"/>
          <w:sz w:val="20"/>
          <w:szCs w:val="20"/>
        </w:rPr>
        <w:t>peak</w:t>
      </w:r>
      <w:proofErr w:type="spellEnd"/>
      <w:r w:rsidRPr="007A175A">
        <w:rPr>
          <w:rFonts w:ascii="Times New Roman" w:hAnsi="Times New Roman"/>
          <w:sz w:val="20"/>
          <w:szCs w:val="20"/>
        </w:rPr>
        <w:t xml:space="preserve"> EIRP</w:t>
      </w:r>
    </w:p>
    <w:p w14:paraId="104FCBAB" w14:textId="77777777" w:rsidR="00231EF1" w:rsidRDefault="00231EF1" w:rsidP="00231EF1">
      <w:pPr>
        <w:pStyle w:val="Paragraphedeliste"/>
        <w:widowControl w:val="0"/>
        <w:numPr>
          <w:ilvl w:val="4"/>
          <w:numId w:val="43"/>
        </w:numPr>
        <w:spacing w:after="0" w:line="240" w:lineRule="auto"/>
        <w:contextualSpacing w:val="0"/>
        <w:jc w:val="both"/>
        <w:rPr>
          <w:rFonts w:ascii="Times New Roman" w:hAnsi="Times New Roman"/>
          <w:sz w:val="20"/>
          <w:szCs w:val="20"/>
        </w:rPr>
      </w:pPr>
      <w:r w:rsidRPr="007A175A">
        <w:rPr>
          <w:rFonts w:ascii="Times New Roman" w:hAnsi="Times New Roman"/>
          <w:sz w:val="20"/>
          <w:szCs w:val="20"/>
        </w:rPr>
        <w:t xml:space="preserve">Minimum OTA </w:t>
      </w:r>
      <w:proofErr w:type="spellStart"/>
      <w:r w:rsidRPr="007A175A">
        <w:rPr>
          <w:rFonts w:ascii="Times New Roman" w:hAnsi="Times New Roman"/>
          <w:sz w:val="20"/>
          <w:szCs w:val="20"/>
        </w:rPr>
        <w:t>Rx</w:t>
      </w:r>
      <w:proofErr w:type="spellEnd"/>
      <w:r w:rsidRPr="007A175A">
        <w:rPr>
          <w:rFonts w:ascii="Times New Roman" w:hAnsi="Times New Roman"/>
          <w:sz w:val="20"/>
          <w:szCs w:val="20"/>
        </w:rPr>
        <w:t xml:space="preserve"> </w:t>
      </w:r>
      <w:proofErr w:type="spellStart"/>
      <w:r w:rsidRPr="007A175A">
        <w:rPr>
          <w:rFonts w:ascii="Times New Roman" w:hAnsi="Times New Roman"/>
          <w:sz w:val="20"/>
          <w:szCs w:val="20"/>
        </w:rPr>
        <w:t>sensitivity</w:t>
      </w:r>
      <w:proofErr w:type="spellEnd"/>
    </w:p>
    <w:p w14:paraId="6045172A" w14:textId="77777777" w:rsidR="00231EF1" w:rsidRDefault="00231EF1" w:rsidP="00231EF1">
      <w:pPr>
        <w:pStyle w:val="Paragraphedeliste"/>
        <w:widowControl w:val="0"/>
        <w:numPr>
          <w:ilvl w:val="4"/>
          <w:numId w:val="43"/>
        </w:numPr>
        <w:spacing w:after="0" w:line="240" w:lineRule="auto"/>
        <w:contextualSpacing w:val="0"/>
        <w:jc w:val="both"/>
        <w:rPr>
          <w:rFonts w:ascii="Times New Roman" w:hAnsi="Times New Roman"/>
          <w:sz w:val="20"/>
          <w:szCs w:val="20"/>
        </w:rPr>
      </w:pPr>
      <w:r w:rsidRPr="007A175A">
        <w:rPr>
          <w:rFonts w:ascii="Times New Roman" w:hAnsi="Times New Roman"/>
          <w:sz w:val="20"/>
          <w:szCs w:val="20"/>
        </w:rPr>
        <w:t xml:space="preserve">Minimum </w:t>
      </w:r>
      <w:proofErr w:type="spellStart"/>
      <w:r w:rsidRPr="007A175A">
        <w:rPr>
          <w:rFonts w:ascii="Times New Roman" w:hAnsi="Times New Roman"/>
          <w:sz w:val="20"/>
          <w:szCs w:val="20"/>
        </w:rPr>
        <w:t>Pointing</w:t>
      </w:r>
      <w:proofErr w:type="spellEnd"/>
      <w:r w:rsidRPr="007A175A">
        <w:rPr>
          <w:rFonts w:ascii="Times New Roman" w:hAnsi="Times New Roman"/>
          <w:sz w:val="20"/>
          <w:szCs w:val="20"/>
        </w:rPr>
        <w:t>/</w:t>
      </w:r>
      <w:proofErr w:type="spellStart"/>
      <w:r w:rsidRPr="007A175A">
        <w:rPr>
          <w:rFonts w:ascii="Times New Roman" w:hAnsi="Times New Roman"/>
          <w:sz w:val="20"/>
          <w:szCs w:val="20"/>
        </w:rPr>
        <w:t>Tracking</w:t>
      </w:r>
      <w:proofErr w:type="spellEnd"/>
      <w:r w:rsidRPr="007A175A">
        <w:rPr>
          <w:rFonts w:ascii="Times New Roman" w:hAnsi="Times New Roman"/>
          <w:sz w:val="20"/>
          <w:szCs w:val="20"/>
        </w:rPr>
        <w:t xml:space="preserve"> </w:t>
      </w:r>
      <w:proofErr w:type="spellStart"/>
      <w:r w:rsidRPr="007A175A">
        <w:rPr>
          <w:rFonts w:ascii="Times New Roman" w:hAnsi="Times New Roman"/>
          <w:sz w:val="20"/>
          <w:szCs w:val="20"/>
        </w:rPr>
        <w:t>accuracy</w:t>
      </w:r>
      <w:proofErr w:type="spellEnd"/>
    </w:p>
    <w:p w14:paraId="5596A15D" w14:textId="77777777" w:rsidR="00231EF1" w:rsidRPr="00231EF1" w:rsidRDefault="00231EF1" w:rsidP="00231EF1">
      <w:pPr>
        <w:pStyle w:val="Paragraphedeliste"/>
        <w:widowControl w:val="0"/>
        <w:numPr>
          <w:ilvl w:val="1"/>
          <w:numId w:val="43"/>
        </w:numPr>
        <w:spacing w:after="0" w:line="240" w:lineRule="auto"/>
        <w:contextualSpacing w:val="0"/>
        <w:jc w:val="both"/>
        <w:rPr>
          <w:rFonts w:ascii="Times New Roman" w:hAnsi="Times New Roman"/>
          <w:sz w:val="20"/>
          <w:szCs w:val="20"/>
          <w:lang w:val="en-US"/>
        </w:rPr>
      </w:pPr>
      <w:r w:rsidRPr="00231EF1">
        <w:rPr>
          <w:rFonts w:ascii="Times New Roman" w:hAnsi="Times New Roman"/>
          <w:sz w:val="20"/>
          <w:szCs w:val="20"/>
          <w:lang w:val="en-US"/>
        </w:rPr>
        <w:t>Note 2: Other mobile VSAT UE types (if any) and their respective characteristics to be discussed in RAN4</w:t>
      </w:r>
    </w:p>
    <w:p w14:paraId="0EB95756" w14:textId="77777777" w:rsidR="00231EF1" w:rsidRPr="00231EF1" w:rsidRDefault="00231EF1" w:rsidP="00231EF1">
      <w:pPr>
        <w:pStyle w:val="Paragraphedeliste"/>
        <w:rPr>
          <w:rFonts w:ascii="Times New Roman" w:hAnsi="Times New Roman"/>
          <w:sz w:val="20"/>
          <w:szCs w:val="20"/>
          <w:lang w:val="en-US"/>
        </w:rPr>
      </w:pPr>
    </w:p>
    <w:p w14:paraId="77583CF4" w14:textId="77777777" w:rsidR="00231EF1" w:rsidRDefault="00231EF1" w:rsidP="00231EF1">
      <w:pPr>
        <w:pStyle w:val="Paragraphedeliste"/>
        <w:widowControl w:val="0"/>
        <w:numPr>
          <w:ilvl w:val="0"/>
          <w:numId w:val="43"/>
        </w:numPr>
        <w:spacing w:after="0" w:line="240" w:lineRule="auto"/>
        <w:contextualSpacing w:val="0"/>
        <w:jc w:val="both"/>
        <w:rPr>
          <w:rFonts w:ascii="Times New Roman" w:hAnsi="Times New Roman"/>
          <w:sz w:val="20"/>
          <w:szCs w:val="20"/>
        </w:rPr>
      </w:pPr>
      <w:proofErr w:type="spellStart"/>
      <w:r>
        <w:rPr>
          <w:rFonts w:ascii="Times New Roman" w:hAnsi="Times New Roman"/>
          <w:sz w:val="20"/>
          <w:szCs w:val="20"/>
        </w:rPr>
        <w:lastRenderedPageBreak/>
        <w:t>Specify</w:t>
      </w:r>
      <w:proofErr w:type="spellEnd"/>
      <w:r>
        <w:rPr>
          <w:rFonts w:ascii="Times New Roman" w:hAnsi="Times New Roman"/>
          <w:sz w:val="20"/>
          <w:szCs w:val="20"/>
        </w:rPr>
        <w:t xml:space="preserve"> RRM </w:t>
      </w:r>
      <w:proofErr w:type="spellStart"/>
      <w:r>
        <w:rPr>
          <w:rFonts w:ascii="Times New Roman" w:hAnsi="Times New Roman"/>
          <w:sz w:val="20"/>
          <w:szCs w:val="20"/>
        </w:rPr>
        <w:t>Requirements</w:t>
      </w:r>
      <w:proofErr w:type="spellEnd"/>
      <w:r>
        <w:rPr>
          <w:rFonts w:ascii="Times New Roman" w:hAnsi="Times New Roman"/>
          <w:sz w:val="20"/>
          <w:szCs w:val="20"/>
        </w:rPr>
        <w:t xml:space="preserve"> as </w:t>
      </w:r>
      <w:proofErr w:type="spellStart"/>
      <w:r>
        <w:rPr>
          <w:rFonts w:ascii="Times New Roman" w:hAnsi="Times New Roman"/>
          <w:sz w:val="20"/>
          <w:szCs w:val="20"/>
        </w:rPr>
        <w:t>appropriate</w:t>
      </w:r>
      <w:proofErr w:type="spellEnd"/>
    </w:p>
    <w:p w14:paraId="0F275E1F" w14:textId="77777777" w:rsidR="00231EF1" w:rsidRPr="00231EF1" w:rsidRDefault="00231EF1" w:rsidP="00231EF1">
      <w:pPr>
        <w:pStyle w:val="Paragraphedeliste"/>
        <w:widowControl w:val="0"/>
        <w:numPr>
          <w:ilvl w:val="1"/>
          <w:numId w:val="43"/>
        </w:numPr>
        <w:spacing w:after="0" w:line="240" w:lineRule="auto"/>
        <w:ind w:left="709" w:hanging="289"/>
        <w:contextualSpacing w:val="0"/>
        <w:jc w:val="both"/>
        <w:rPr>
          <w:rFonts w:ascii="Times New Roman" w:hAnsi="Times New Roman"/>
          <w:sz w:val="20"/>
          <w:szCs w:val="20"/>
          <w:lang w:val="en-US"/>
        </w:rPr>
      </w:pPr>
      <w:r w:rsidRPr="00231EF1">
        <w:rPr>
          <w:rFonts w:ascii="Times New Roman" w:hAnsi="Times New Roman"/>
          <w:sz w:val="20"/>
          <w:szCs w:val="20"/>
          <w:lang w:val="en-US"/>
        </w:rPr>
        <w:t>Ultra-small Mobile VSAT configuration assumption with 1Tx &amp; 1Rx (e.g. for land/maritime vehicle applications) as well as 1Tx &amp; 2Rx (e.g. for aeronautical applications)</w:t>
      </w:r>
    </w:p>
    <w:p w14:paraId="745279F0" w14:textId="77777777" w:rsidR="00231EF1" w:rsidRPr="00231EF1" w:rsidRDefault="00231EF1" w:rsidP="00231EF1">
      <w:pPr>
        <w:pStyle w:val="Paragraphedeliste"/>
        <w:widowControl w:val="0"/>
        <w:numPr>
          <w:ilvl w:val="1"/>
          <w:numId w:val="43"/>
        </w:numPr>
        <w:spacing w:after="0" w:line="240" w:lineRule="auto"/>
        <w:contextualSpacing w:val="0"/>
        <w:jc w:val="both"/>
        <w:rPr>
          <w:rFonts w:ascii="Times New Roman" w:hAnsi="Times New Roman"/>
          <w:sz w:val="20"/>
          <w:szCs w:val="20"/>
          <w:lang w:val="en-US"/>
        </w:rPr>
      </w:pPr>
      <w:r w:rsidRPr="00231EF1">
        <w:rPr>
          <w:rFonts w:ascii="Times New Roman" w:hAnsi="Times New Roman"/>
          <w:sz w:val="20"/>
          <w:szCs w:val="20"/>
          <w:lang w:val="en-US"/>
        </w:rPr>
        <w:t>Timing error requirements enhancements in section 7.1C of TS 38.133</w:t>
      </w:r>
    </w:p>
    <w:p w14:paraId="3D30F386" w14:textId="77777777" w:rsidR="00231EF1" w:rsidRPr="00231EF1" w:rsidRDefault="00231EF1" w:rsidP="00A333AD">
      <w:pPr>
        <w:rPr>
          <w:lang w:val="en-US"/>
        </w:rPr>
      </w:pPr>
    </w:p>
    <w:p w14:paraId="75DD7DEB" w14:textId="1B7FEFBD" w:rsidR="00231EF1" w:rsidRPr="000C3000" w:rsidRDefault="00231EF1" w:rsidP="00A333AD">
      <w:pPr>
        <w:pStyle w:val="Titre5"/>
      </w:pPr>
      <w:r>
        <w:t>Performance part</w:t>
      </w:r>
    </w:p>
    <w:p w14:paraId="7571F779" w14:textId="4AD53015" w:rsidR="00A333AD" w:rsidRDefault="00231EF1" w:rsidP="000C3000">
      <w:pPr>
        <w:ind w:right="-99"/>
        <w:rPr>
          <w:lang w:val="en-US" w:eastAsia="zh-CN"/>
        </w:rPr>
      </w:pPr>
      <w:r w:rsidRPr="00231EF1">
        <w:rPr>
          <w:bCs/>
          <w:lang w:val="en-US" w:eastAsia="ko-KR"/>
        </w:rPr>
        <w:t xml:space="preserve">Upgrade performance part for ultra-small </w:t>
      </w:r>
      <w:r w:rsidRPr="00231EF1">
        <w:rPr>
          <w:lang w:val="en-US" w:eastAsia="zh-CN"/>
        </w:rPr>
        <w:t>Mobile VSAT as necessary.</w:t>
      </w:r>
    </w:p>
    <w:p w14:paraId="6FA269C5" w14:textId="77777777" w:rsidR="000C3000" w:rsidRPr="000C3000" w:rsidRDefault="000C3000" w:rsidP="000C3000">
      <w:pPr>
        <w:ind w:right="-99"/>
        <w:rPr>
          <w:bCs/>
          <w:lang w:val="en-US" w:eastAsia="ko-KR"/>
        </w:rPr>
      </w:pPr>
    </w:p>
    <w:p w14:paraId="302FE674" w14:textId="77777777" w:rsidR="00A333AD" w:rsidRPr="0092048E" w:rsidRDefault="00A333AD" w:rsidP="00A333AD">
      <w:pPr>
        <w:pStyle w:val="Titre4"/>
      </w:pPr>
      <w:proofErr w:type="spellStart"/>
      <w:r w:rsidRPr="0092048E">
        <w:t>Working</w:t>
      </w:r>
      <w:proofErr w:type="spellEnd"/>
      <w:r w:rsidRPr="0092048E">
        <w:t xml:space="preserve"> groups</w:t>
      </w:r>
    </w:p>
    <w:p w14:paraId="430170A4" w14:textId="5EEE0573" w:rsidR="00314860" w:rsidRPr="000C3000" w:rsidRDefault="00515C75" w:rsidP="000C3000">
      <w:pPr>
        <w:pStyle w:val="Paragraphedeliste"/>
        <w:numPr>
          <w:ilvl w:val="0"/>
          <w:numId w:val="40"/>
        </w:numPr>
        <w:rPr>
          <w:lang w:val="en-US"/>
        </w:rPr>
      </w:pPr>
      <w:r>
        <w:rPr>
          <w:bdr w:val="none" w:sz="0" w:space="0" w:color="auto" w:frame="1"/>
          <w:lang w:eastAsia="en-GB"/>
        </w:rPr>
        <w:t>RAN4</w:t>
      </w:r>
    </w:p>
    <w:p w14:paraId="374D4E13" w14:textId="77777777" w:rsidR="00EA6FCD" w:rsidRPr="00EA6FCD" w:rsidRDefault="00EA6FCD" w:rsidP="00EA6FCD">
      <w:pPr>
        <w:pStyle w:val="Titre3"/>
        <w:rPr>
          <w:lang w:val="en-US"/>
        </w:rPr>
      </w:pPr>
      <w:r w:rsidRPr="00EA6FCD">
        <w:rPr>
          <w:lang w:val="en-US"/>
        </w:rPr>
        <w:t>Testing methodology for VSAT</w:t>
      </w:r>
    </w:p>
    <w:p w14:paraId="7A801229" w14:textId="77777777" w:rsidR="00DE2787" w:rsidRDefault="00DE2787" w:rsidP="00DE2787">
      <w:pPr>
        <w:pStyle w:val="Titre4"/>
      </w:pPr>
      <w:r w:rsidRPr="714FC45E">
        <w:t>Justification</w:t>
      </w:r>
    </w:p>
    <w:p w14:paraId="450189DD" w14:textId="77777777" w:rsidR="00C260AA" w:rsidRPr="00C260AA" w:rsidRDefault="00C260AA" w:rsidP="00C260AA">
      <w:pPr>
        <w:rPr>
          <w:lang w:val="en-US" w:eastAsia="ja-JP"/>
        </w:rPr>
      </w:pPr>
      <w:r w:rsidRPr="00C260AA">
        <w:rPr>
          <w:lang w:val="en-US" w:eastAsia="ja-JP"/>
        </w:rPr>
        <w:t>The introduction of NTN into 3GPP has presented an opportunity for the satellite industry to benefit from the scale of 3GPP’s global standards and provides 3GPP an opportunity to extend its reach into new vertical markets. There are many areas where 3GPP standards can extend the addressability of services provided by existing satellite networks based on proprietary standards.</w:t>
      </w:r>
    </w:p>
    <w:p w14:paraId="6712C9B6" w14:textId="77777777" w:rsidR="00C260AA" w:rsidRPr="00C260AA" w:rsidRDefault="00C260AA" w:rsidP="00C260AA">
      <w:pPr>
        <w:rPr>
          <w:lang w:val="en-US" w:eastAsia="ja-JP"/>
        </w:rPr>
      </w:pPr>
      <w:r w:rsidRPr="00C260AA">
        <w:rPr>
          <w:lang w:val="en-US" w:eastAsia="ja-JP"/>
        </w:rPr>
        <w:t>Optimizing the opportunity that 3GPP standards provide to the NTN community requires a careful understanding of what can be directly reused with minimal or no change, and what requires to be handled differently due to the obvious physical differences between TN and NTN.</w:t>
      </w:r>
    </w:p>
    <w:p w14:paraId="56D13092" w14:textId="77777777" w:rsidR="00C260AA" w:rsidRPr="00C260AA" w:rsidRDefault="00C260AA" w:rsidP="00C260AA">
      <w:pPr>
        <w:rPr>
          <w:lang w:val="en-US" w:eastAsia="ja-JP"/>
        </w:rPr>
      </w:pPr>
      <w:r w:rsidRPr="00C260AA">
        <w:rPr>
          <w:lang w:val="en-US" w:eastAsia="ja-JP"/>
        </w:rPr>
        <w:t xml:space="preserve">The work to specify core requirements for VSAT above 10 GHz as part of the </w:t>
      </w:r>
      <w:r w:rsidRPr="00C260AA">
        <w:rPr>
          <w:lang w:val="en-US"/>
        </w:rPr>
        <w:t xml:space="preserve">NR NTN enhancements WI is due to complete in June 2024 at RAN #104. The next phase of the work is to consider performance requirements and then testability. </w:t>
      </w:r>
      <w:r w:rsidRPr="00C260AA">
        <w:rPr>
          <w:lang w:val="en-US" w:eastAsia="ja-JP"/>
        </w:rPr>
        <w:t>Current test methods defined for TN FR2 UE and BS may not be suitable for testing VSAT for two reasons:</w:t>
      </w:r>
    </w:p>
    <w:p w14:paraId="324128A2" w14:textId="77777777" w:rsidR="00C260AA" w:rsidRPr="00C260AA" w:rsidRDefault="00C260AA" w:rsidP="00C260AA">
      <w:pPr>
        <w:pStyle w:val="Paragraphedeliste"/>
        <w:numPr>
          <w:ilvl w:val="0"/>
          <w:numId w:val="45"/>
        </w:numPr>
        <w:overflowPunct w:val="0"/>
        <w:autoSpaceDE w:val="0"/>
        <w:autoSpaceDN w:val="0"/>
        <w:adjustRightInd w:val="0"/>
        <w:spacing w:before="100" w:beforeAutospacing="1" w:after="100" w:afterAutospacing="1" w:line="240" w:lineRule="auto"/>
        <w:contextualSpacing w:val="0"/>
        <w:textAlignment w:val="baseline"/>
        <w:rPr>
          <w:sz w:val="20"/>
          <w:szCs w:val="20"/>
          <w:lang w:val="en-US" w:eastAsia="ja-JP"/>
        </w:rPr>
      </w:pPr>
      <w:r w:rsidRPr="00C260AA">
        <w:rPr>
          <w:sz w:val="20"/>
          <w:szCs w:val="20"/>
          <w:lang w:val="en-US" w:eastAsia="ja-JP"/>
        </w:rPr>
        <w:t>VSAT device sizes are much larger than FR2 UE handsets</w:t>
      </w:r>
    </w:p>
    <w:p w14:paraId="08C08F4B" w14:textId="77777777" w:rsidR="00C260AA" w:rsidRPr="00C260AA" w:rsidRDefault="00C260AA" w:rsidP="00C260AA">
      <w:pPr>
        <w:pStyle w:val="Paragraphedeliste"/>
        <w:numPr>
          <w:ilvl w:val="0"/>
          <w:numId w:val="45"/>
        </w:numPr>
        <w:overflowPunct w:val="0"/>
        <w:autoSpaceDE w:val="0"/>
        <w:autoSpaceDN w:val="0"/>
        <w:adjustRightInd w:val="0"/>
        <w:spacing w:before="100" w:beforeAutospacing="1" w:after="100" w:afterAutospacing="1" w:line="240" w:lineRule="auto"/>
        <w:contextualSpacing w:val="0"/>
        <w:textAlignment w:val="baseline"/>
        <w:rPr>
          <w:sz w:val="20"/>
          <w:szCs w:val="20"/>
          <w:lang w:val="en-US" w:eastAsia="ja-JP"/>
        </w:rPr>
      </w:pPr>
      <w:r w:rsidRPr="00C260AA">
        <w:rPr>
          <w:sz w:val="20"/>
          <w:szCs w:val="20"/>
          <w:lang w:val="en-US" w:eastAsia="ja-JP"/>
        </w:rPr>
        <w:t>The lower frequency range of VSAT is 10.7 GHz, well below the current TN FR2 frequency range</w:t>
      </w:r>
    </w:p>
    <w:p w14:paraId="3B7473EA" w14:textId="77777777" w:rsidR="00C260AA" w:rsidRPr="00C260AA" w:rsidRDefault="00C260AA" w:rsidP="00C260AA">
      <w:pPr>
        <w:rPr>
          <w:lang w:val="en-US" w:eastAsia="ja-JP"/>
        </w:rPr>
      </w:pPr>
      <w:r w:rsidRPr="00C260AA">
        <w:rPr>
          <w:lang w:val="en-US" w:eastAsia="ja-JP"/>
        </w:rPr>
        <w:t>Given that the current satellite market is significant smaller than the terrestrial market, a pragmatic approach needs to be taken to how to progress the issue of VSAYT testability. An extension of existing 3GPP UE test methods for VSAT may not be optimal from a cost and time perspective, and interim approaches leveraging current satellite industry test methods, and or using the lighter weight BS test approach to VSAT UE should be considered. In particular, the modular approach the satellite industry has taken towards device specification and test should be studied.</w:t>
      </w:r>
    </w:p>
    <w:p w14:paraId="7D8F9A51" w14:textId="77777777" w:rsidR="00C260AA" w:rsidRPr="00C260AA" w:rsidRDefault="00C260AA" w:rsidP="00C260AA">
      <w:pPr>
        <w:rPr>
          <w:lang w:val="en-US" w:eastAsia="ja-JP"/>
        </w:rPr>
      </w:pPr>
      <w:r w:rsidRPr="00C260AA">
        <w:rPr>
          <w:lang w:val="en-US" w:eastAsia="ja-JP"/>
        </w:rPr>
        <w:t>Historically the approach taken by RAN4 and RAN5 towards Terrestrial Network (TN) UE and BS performance requirements and testing specifications has been very different. There are good reasons for the approach taken which have been motivated by very different UE and BS characteristics.</w:t>
      </w:r>
    </w:p>
    <w:p w14:paraId="09200C1E" w14:textId="34D4BC62" w:rsidR="00C260AA" w:rsidRPr="00C260AA" w:rsidRDefault="00C260AA" w:rsidP="00C260AA">
      <w:pPr>
        <w:rPr>
          <w:lang w:val="en-US" w:eastAsia="ja-JP"/>
        </w:rPr>
      </w:pPr>
      <w:r w:rsidRPr="00C260AA">
        <w:rPr>
          <w:lang w:val="en-US" w:eastAsia="ja-JP"/>
        </w:rPr>
        <w:t>The TN BS is ordinarily geostatic, being tower or building mounted. The network operator has full control over the selection and deployment of the TN RAN and has only a few vendors to choose from. It is in the network operators interest to only specify and deploy a BS RAN that meets its requirements for operational aspects, performance, and costs.</w:t>
      </w:r>
    </w:p>
    <w:p w14:paraId="2D7D8396" w14:textId="77777777" w:rsidR="00C260AA" w:rsidRPr="00C260AA" w:rsidRDefault="00C260AA" w:rsidP="00C260AA">
      <w:pPr>
        <w:rPr>
          <w:lang w:val="en-US" w:eastAsia="ja-JP"/>
        </w:rPr>
      </w:pPr>
      <w:r w:rsidRPr="00C260AA">
        <w:rPr>
          <w:lang w:val="en-US" w:eastAsia="ja-JP"/>
        </w:rPr>
        <w:t xml:space="preserve">The TN UE is a very different device. It is ordinarily not geostatic, and through international agreements and backed by a well-regulated conformance test regime, is expected to, and does roam </w:t>
      </w:r>
      <w:r w:rsidRPr="00C260AA">
        <w:rPr>
          <w:lang w:val="en-US" w:eastAsia="ja-JP"/>
        </w:rPr>
        <w:lastRenderedPageBreak/>
        <w:t>between TNs operated by different network operators. Crucially, provided key regulatory and conformance requirements are met by the UE, the network operator is obliged to allow any UE to roam onto its TN and access services. And unlike the very limited BS supply chain, there are dozens of UE vendors. The larger network operators can influence the choice and quality of UE they promote for use on their TNs through proprietary operator requirements and testing regimes, but otherwise must accept any UE that roams onto its TN.</w:t>
      </w:r>
    </w:p>
    <w:p w14:paraId="432DDD2B" w14:textId="77777777" w:rsidR="00C260AA" w:rsidRPr="00C260AA" w:rsidRDefault="00C260AA" w:rsidP="00C260AA">
      <w:pPr>
        <w:rPr>
          <w:lang w:val="en-US" w:eastAsia="ja-JP"/>
        </w:rPr>
      </w:pPr>
      <w:r w:rsidRPr="00C260AA">
        <w:rPr>
          <w:lang w:val="en-US" w:eastAsia="ja-JP"/>
        </w:rPr>
        <w:t xml:space="preserve">These very different scenarios have led the cellular standards community to treat the performance requirements and testing of TN BSs and TN UEs very differently. At a high level, the TN BS operates in a very narrow environment, totally controlled by the network operator who has a vested interest in only deploying BS that meet their exacting requirements. A consequence of this is that the performance requirements for TN BS are very limited, and the testing of BS is primarily concerned with verifying the core requirement needed for regulatory reasons rather than the performance of the BS under varying conditions. The TN BS testing market is very much smaller than the TN UE market and this has led to a pragmatic approach being taken where most if not all the test procedures rely on proprietary control of the BS to configure the conditions for testing. Specifically, L3 </w:t>
      </w:r>
      <w:proofErr w:type="spellStart"/>
      <w:r w:rsidRPr="00C260AA">
        <w:rPr>
          <w:lang w:val="en-US" w:eastAsia="ja-JP"/>
        </w:rPr>
        <w:t>signalling</w:t>
      </w:r>
      <w:proofErr w:type="spellEnd"/>
      <w:r w:rsidRPr="00C260AA">
        <w:rPr>
          <w:lang w:val="en-US" w:eastAsia="ja-JP"/>
        </w:rPr>
        <w:t xml:space="preserve"> is not used meaning there is no need for a complex UE emulator. Instead, testing is carried out using single-ended open-loop sources and analyzers.</w:t>
      </w:r>
    </w:p>
    <w:p w14:paraId="518AA5FE" w14:textId="77777777" w:rsidR="00C260AA" w:rsidRPr="00C260AA" w:rsidRDefault="00C260AA" w:rsidP="00C260AA">
      <w:pPr>
        <w:rPr>
          <w:lang w:val="en-US" w:eastAsia="ja-JP"/>
        </w:rPr>
      </w:pPr>
      <w:r w:rsidRPr="00C260AA">
        <w:rPr>
          <w:lang w:val="en-US" w:eastAsia="ja-JP"/>
        </w:rPr>
        <w:t xml:space="preserve">On the contrary, TN UE testing is exclusively carried out using standard L3 network </w:t>
      </w:r>
      <w:proofErr w:type="spellStart"/>
      <w:r w:rsidRPr="00C260AA">
        <w:rPr>
          <w:lang w:val="en-US" w:eastAsia="ja-JP"/>
        </w:rPr>
        <w:t>signalling</w:t>
      </w:r>
      <w:proofErr w:type="spellEnd"/>
      <w:r w:rsidRPr="00C260AA">
        <w:rPr>
          <w:lang w:val="en-US" w:eastAsia="ja-JP"/>
        </w:rPr>
        <w:t xml:space="preserve"> provided by a BS emulator or “system simulator”. This approach requires much higher investment in the testing infrastructure but is offset by the size of the UE test market.  This enables and leads to UE testing being outsourced by the operator and UE vendor to third party test houses.  BS testing is typically performed in-house by the vendor and operator.</w:t>
      </w:r>
    </w:p>
    <w:p w14:paraId="4F0EE647" w14:textId="53146562" w:rsidR="00C260AA" w:rsidRPr="00C260AA" w:rsidRDefault="00C260AA" w:rsidP="00C260AA">
      <w:pPr>
        <w:spacing w:after="0"/>
        <w:rPr>
          <w:lang w:val="en-US" w:eastAsia="zh-CN"/>
        </w:rPr>
      </w:pPr>
      <w:r w:rsidRPr="00C260AA">
        <w:rPr>
          <w:lang w:val="en-US" w:eastAsia="zh-CN"/>
        </w:rPr>
        <w:t>A significant aspect of current VSAT specifications is the disaggregation of the VSAT into an L-band modem and up</w:t>
      </w:r>
      <w:r w:rsidR="000C3000">
        <w:rPr>
          <w:lang w:val="en-US" w:eastAsia="zh-CN"/>
        </w:rPr>
        <w:t>-</w:t>
      </w:r>
      <w:r w:rsidRPr="00C260AA">
        <w:rPr>
          <w:lang w:val="en-US" w:eastAsia="zh-CN"/>
        </w:rPr>
        <w:t xml:space="preserve">converting antenna module as shown in the following figure from the Open BMIP standard [2]. </w:t>
      </w:r>
    </w:p>
    <w:p w14:paraId="09A505F1" w14:textId="77777777" w:rsidR="00C260AA" w:rsidRPr="00C260AA" w:rsidRDefault="00C260AA" w:rsidP="00C260AA">
      <w:pPr>
        <w:rPr>
          <w:lang w:val="en-US" w:eastAsia="ja-JP"/>
        </w:rPr>
      </w:pPr>
    </w:p>
    <w:p w14:paraId="1AE1A15B" w14:textId="77777777" w:rsidR="00C260AA" w:rsidRDefault="00C260AA" w:rsidP="00C260AA">
      <w:r w:rsidRPr="009A7D28">
        <w:rPr>
          <w:noProof/>
          <w:lang w:eastAsia="fr-FR"/>
        </w:rPr>
        <w:drawing>
          <wp:inline distT="0" distB="0" distL="0" distR="0" wp14:anchorId="65410BE9" wp14:editId="0B72D518">
            <wp:extent cx="5731510" cy="2136140"/>
            <wp:effectExtent l="0" t="0" r="2540" b="0"/>
            <wp:docPr id="183956782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67820" name="Picture 1" descr="A diagram of a computer&#10;&#10;Description automatically generated"/>
                    <pic:cNvPicPr/>
                  </pic:nvPicPr>
                  <pic:blipFill>
                    <a:blip r:embed="rId8"/>
                    <a:stretch>
                      <a:fillRect/>
                    </a:stretch>
                  </pic:blipFill>
                  <pic:spPr>
                    <a:xfrm>
                      <a:off x="0" y="0"/>
                      <a:ext cx="5731510" cy="2136140"/>
                    </a:xfrm>
                    <a:prstGeom prst="rect">
                      <a:avLst/>
                    </a:prstGeom>
                  </pic:spPr>
                </pic:pic>
              </a:graphicData>
            </a:graphic>
          </wp:inline>
        </w:drawing>
      </w:r>
    </w:p>
    <w:p w14:paraId="5CF7D961" w14:textId="77777777" w:rsidR="00C260AA" w:rsidRPr="00C260AA" w:rsidRDefault="00C260AA" w:rsidP="00C260AA">
      <w:pPr>
        <w:rPr>
          <w:lang w:val="en-US" w:eastAsia="ja-JP"/>
        </w:rPr>
      </w:pPr>
      <w:r w:rsidRPr="00C260AA">
        <w:rPr>
          <w:lang w:val="en-US" w:eastAsia="ja-JP"/>
        </w:rPr>
        <w:t>This functional split allows the satellite industry to develop generic modems that can interface to as many as ten different antenna systems depending on the intended environment e.g. maritime, airborne, mechanically or electrically steered etc.</w:t>
      </w:r>
    </w:p>
    <w:p w14:paraId="2B5B365B" w14:textId="77777777" w:rsidR="00C260AA" w:rsidRPr="00C260AA" w:rsidRDefault="00C260AA" w:rsidP="00C260AA">
      <w:pPr>
        <w:rPr>
          <w:lang w:val="en-US"/>
        </w:rPr>
      </w:pPr>
      <w:r w:rsidRPr="00C260AA">
        <w:rPr>
          <w:lang w:val="en-US"/>
        </w:rPr>
        <w:t xml:space="preserve">[1] Open BMIP </w:t>
      </w:r>
      <w:hyperlink r:id="rId9" w:history="1">
        <w:r w:rsidRPr="00C260AA">
          <w:rPr>
            <w:rStyle w:val="Lienhypertexte"/>
            <w:lang w:val="en-US"/>
          </w:rPr>
          <w:t>https://www.idirect.net/wp-content/uploads/2021/02/OpenBMIP-Standard-Revision-A.pdf</w:t>
        </w:r>
      </w:hyperlink>
    </w:p>
    <w:p w14:paraId="54D13FBA" w14:textId="77777777" w:rsidR="00D2326B" w:rsidRPr="00567BE0" w:rsidRDefault="00D2326B" w:rsidP="00D2326B">
      <w:pPr>
        <w:jc w:val="both"/>
        <w:rPr>
          <w:lang w:val="en-US"/>
        </w:rPr>
      </w:pPr>
    </w:p>
    <w:p w14:paraId="72836204" w14:textId="78A93003" w:rsidR="00DE2787" w:rsidRDefault="00DE2787" w:rsidP="00DE2787">
      <w:pPr>
        <w:pStyle w:val="Titre4"/>
      </w:pPr>
      <w:r w:rsidRPr="714FC45E">
        <w:lastRenderedPageBreak/>
        <w:t>Objectives</w:t>
      </w:r>
    </w:p>
    <w:p w14:paraId="161B2097" w14:textId="77777777" w:rsidR="00C260AA" w:rsidRPr="00C260AA" w:rsidRDefault="00C260AA" w:rsidP="00C260AA">
      <w:pPr>
        <w:spacing w:after="0"/>
        <w:rPr>
          <w:lang w:val="en-US" w:eastAsia="zh-CN"/>
        </w:rPr>
      </w:pPr>
      <w:bookmarkStart w:id="10" w:name="_Hlk86238162"/>
      <w:r w:rsidRPr="00C260AA">
        <w:rPr>
          <w:lang w:val="en-US" w:eastAsia="zh-CN"/>
        </w:rPr>
        <w:t>The objectives of the study are:</w:t>
      </w:r>
    </w:p>
    <w:p w14:paraId="29BDED11"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eastAsia="zh-CN"/>
        </w:rPr>
        <w:t xml:space="preserve">Investigate the applicability of current 3GPP test methods for the following example VSAT device types (from 38.101-5 v18.5.0 Table </w:t>
      </w:r>
      <w:r w:rsidRPr="00C260AA">
        <w:rPr>
          <w:sz w:val="20"/>
          <w:szCs w:val="20"/>
          <w:lang w:val="en-US"/>
        </w:rPr>
        <w:t>9.2.1.0-1:</w:t>
      </w:r>
    </w:p>
    <w:p w14:paraId="763C5F18" w14:textId="77777777" w:rsidR="00C260AA" w:rsidRPr="00C260AA" w:rsidRDefault="00C260AA" w:rsidP="00C260AA">
      <w:pPr>
        <w:pStyle w:val="Paragraphedeliste"/>
        <w:numPr>
          <w:ilvl w:val="1"/>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eastAsia="zh-CN"/>
        </w:rPr>
        <w:t>Fixed VSAT UE type 1 - Fixed VSAT communicating with GSO and LEO with mechanical steering antenna – likely to be a galvanic interface at RF</w:t>
      </w:r>
    </w:p>
    <w:p w14:paraId="05190539" w14:textId="77777777" w:rsidR="00C260AA" w:rsidRPr="00C260AA" w:rsidRDefault="00C260AA" w:rsidP="00C260AA">
      <w:pPr>
        <w:pStyle w:val="Paragraphedeliste"/>
        <w:numPr>
          <w:ilvl w:val="1"/>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rPr>
        <w:t>Mobile VSAT UE type 5 communicating with GSO with electronic steering antenna (assumed flat panel) – likely to be an OTA interface</w:t>
      </w:r>
    </w:p>
    <w:p w14:paraId="2BEA0598"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eastAsia="zh-CN"/>
        </w:rPr>
        <w:t>Preliminary assumption for quiet zone 55 cm, larger volumes will be needed for some antenna types</w:t>
      </w:r>
    </w:p>
    <w:p w14:paraId="4BE5604D"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proofErr w:type="spellStart"/>
      <w:r w:rsidRPr="00C260AA">
        <w:rPr>
          <w:sz w:val="20"/>
          <w:szCs w:val="20"/>
          <w:lang w:val="en-US"/>
        </w:rPr>
        <w:t>Ka</w:t>
      </w:r>
      <w:proofErr w:type="spellEnd"/>
      <w:r w:rsidRPr="00C260AA">
        <w:rPr>
          <w:sz w:val="20"/>
          <w:szCs w:val="20"/>
          <w:lang w:val="en-US"/>
        </w:rPr>
        <w:t xml:space="preserve"> and Ku bands should be considered</w:t>
      </w:r>
    </w:p>
    <w:p w14:paraId="39AC39C6"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rPr>
        <w:t>Identify what core and performance requirements can be tested using current test methods</w:t>
      </w:r>
    </w:p>
    <w:p w14:paraId="1F312591"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rPr>
        <w:t>Investigate test methods to accommodate the above VSAT types using 3GPP and current satellite industry approaches:</w:t>
      </w:r>
    </w:p>
    <w:p w14:paraId="3B7AEDD7" w14:textId="77777777" w:rsidR="00C260AA" w:rsidRPr="00C260AA" w:rsidRDefault="00C260AA" w:rsidP="00C260AA">
      <w:pPr>
        <w:pStyle w:val="Paragraphedeliste"/>
        <w:numPr>
          <w:ilvl w:val="1"/>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rPr>
        <w:t>Study what modifications would be required to existing 3GPP test methods to accommodate the above VSAT types</w:t>
      </w:r>
    </w:p>
    <w:p w14:paraId="7603137D" w14:textId="77777777" w:rsidR="00C260AA" w:rsidRPr="00C260AA" w:rsidRDefault="00C260AA" w:rsidP="00C260AA">
      <w:pPr>
        <w:pStyle w:val="Paragraphedeliste"/>
        <w:numPr>
          <w:ilvl w:val="1"/>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eastAsia="zh-CN"/>
        </w:rPr>
        <w:t>Study what test methods are currently being used by the satellite industry</w:t>
      </w:r>
    </w:p>
    <w:p w14:paraId="6F0FA010"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eastAsia="zh-CN"/>
        </w:rPr>
        <w:t xml:space="preserve">Study the satellite industry open standards </w:t>
      </w:r>
      <w:r w:rsidRPr="00C260AA">
        <w:rPr>
          <w:sz w:val="20"/>
          <w:szCs w:val="20"/>
          <w:lang w:val="en-US" w:eastAsia="ja-JP"/>
        </w:rPr>
        <w:t xml:space="preserve">Antenna Modem Interface Protocol “Open AMIP” [2] and the </w:t>
      </w:r>
      <w:r w:rsidRPr="00C260AA">
        <w:rPr>
          <w:sz w:val="20"/>
          <w:szCs w:val="20"/>
          <w:lang w:val="en-US"/>
        </w:rPr>
        <w:t>administrative interface between the modem and block up converter (BUC) components of a satellite terminal “Open BMIP” [1] to determine if current approaches to VSAT testing could be incorporated into 3GPP test methods</w:t>
      </w:r>
    </w:p>
    <w:p w14:paraId="457C772E"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sz w:val="20"/>
          <w:szCs w:val="20"/>
          <w:lang w:val="en-US" w:eastAsia="zh-CN"/>
        </w:rPr>
      </w:pPr>
      <w:r w:rsidRPr="00C260AA">
        <w:rPr>
          <w:sz w:val="20"/>
          <w:szCs w:val="20"/>
          <w:lang w:val="en-US"/>
        </w:rPr>
        <w:t xml:space="preserve">Determine if an L3 approach to VSAT testing is feasible, or if the non0-signalling approach used for TN BS is more appropriate, at least for the interim period prior to </w:t>
      </w:r>
      <w:proofErr w:type="spellStart"/>
      <w:r w:rsidRPr="00C260AA">
        <w:rPr>
          <w:sz w:val="20"/>
          <w:szCs w:val="20"/>
          <w:lang w:val="en-US"/>
        </w:rPr>
        <w:t>widescale</w:t>
      </w:r>
      <w:proofErr w:type="spellEnd"/>
      <w:r w:rsidRPr="00C260AA">
        <w:rPr>
          <w:sz w:val="20"/>
          <w:szCs w:val="20"/>
          <w:lang w:val="en-US"/>
        </w:rPr>
        <w:t xml:space="preserve"> VSAT inter-operator roaming.</w:t>
      </w:r>
    </w:p>
    <w:p w14:paraId="52F4F2CE" w14:textId="77777777" w:rsidR="00C260AA" w:rsidRPr="00C260AA" w:rsidRDefault="00C260AA" w:rsidP="00C260AA">
      <w:pPr>
        <w:pStyle w:val="Paragraphedeliste"/>
        <w:numPr>
          <w:ilvl w:val="0"/>
          <w:numId w:val="46"/>
        </w:numPr>
        <w:overflowPunct w:val="0"/>
        <w:autoSpaceDE w:val="0"/>
        <w:autoSpaceDN w:val="0"/>
        <w:adjustRightInd w:val="0"/>
        <w:spacing w:before="100" w:beforeAutospacing="1" w:after="0" w:afterAutospacing="1" w:line="240" w:lineRule="auto"/>
        <w:contextualSpacing w:val="0"/>
        <w:textAlignment w:val="baseline"/>
        <w:rPr>
          <w:lang w:val="en-US" w:eastAsia="ko-KR"/>
        </w:rPr>
      </w:pPr>
      <w:r w:rsidRPr="00C260AA">
        <w:rPr>
          <w:sz w:val="20"/>
          <w:szCs w:val="20"/>
          <w:lang w:val="en-US"/>
        </w:rPr>
        <w:t>Specify new test methods to in support of VSAT conformance testing as per previous testability study items</w:t>
      </w:r>
    </w:p>
    <w:p w14:paraId="1A13B389" w14:textId="77777777" w:rsidR="00C260AA" w:rsidRPr="000C3000" w:rsidRDefault="00C260AA" w:rsidP="000C3000">
      <w:pPr>
        <w:spacing w:after="0"/>
        <w:rPr>
          <w:lang w:val="en-US" w:eastAsia="ko-KR"/>
        </w:rPr>
      </w:pPr>
    </w:p>
    <w:bookmarkEnd w:id="10"/>
    <w:p w14:paraId="087C438A" w14:textId="00DB5B6D" w:rsidR="00FC05A4" w:rsidRPr="00FC05A4" w:rsidRDefault="00C260AA" w:rsidP="00C260AA">
      <w:pPr>
        <w:jc w:val="both"/>
        <w:rPr>
          <w:lang w:val="en-US"/>
        </w:rPr>
      </w:pPr>
      <w:r w:rsidRPr="00C260AA">
        <w:rPr>
          <w:lang w:val="en-US"/>
        </w:rPr>
        <w:t xml:space="preserve">[2] Open AMIP </w:t>
      </w:r>
      <w:hyperlink r:id="rId10" w:history="1">
        <w:r w:rsidRPr="00C260AA">
          <w:rPr>
            <w:rStyle w:val="Lienhypertexte"/>
            <w:lang w:val="en-US"/>
          </w:rPr>
          <w:t>https://www.idirect.net/wp-content/uploads/2021/02/OpenAMIP-Standard-Revision-E.pdf</w:t>
        </w:r>
      </w:hyperlink>
    </w:p>
    <w:p w14:paraId="6FA2EACE" w14:textId="3ED31220" w:rsidR="006E67C8" w:rsidRDefault="006E67C8" w:rsidP="006E67C8">
      <w:pPr>
        <w:pStyle w:val="Titre4"/>
      </w:pPr>
      <w:proofErr w:type="spellStart"/>
      <w:r w:rsidRPr="0092048E">
        <w:t>Working</w:t>
      </w:r>
      <w:proofErr w:type="spellEnd"/>
      <w:r w:rsidRPr="0092048E">
        <w:t xml:space="preserve"> groups</w:t>
      </w:r>
    </w:p>
    <w:p w14:paraId="1F1B5F8E" w14:textId="7C628047" w:rsidR="006E67C8" w:rsidRPr="00E34DF5" w:rsidRDefault="00515C75" w:rsidP="006E67C8">
      <w:pPr>
        <w:pStyle w:val="Paragraphedeliste"/>
        <w:numPr>
          <w:ilvl w:val="0"/>
          <w:numId w:val="40"/>
        </w:numPr>
        <w:rPr>
          <w:lang w:val="en-US"/>
        </w:rPr>
      </w:pPr>
      <w:r>
        <w:rPr>
          <w:bdr w:val="none" w:sz="0" w:space="0" w:color="auto" w:frame="1"/>
          <w:lang w:val="en-US" w:eastAsia="en-GB"/>
        </w:rPr>
        <w:t>RAN4</w:t>
      </w:r>
    </w:p>
    <w:p w14:paraId="0E62F4CC" w14:textId="6CF3A4C5" w:rsidR="00E34DF5" w:rsidRDefault="00E34DF5" w:rsidP="00E34DF5">
      <w:pPr>
        <w:rPr>
          <w:lang w:val="en-US"/>
        </w:rPr>
      </w:pPr>
    </w:p>
    <w:p w14:paraId="5FBE5045" w14:textId="77777777" w:rsidR="002C52F5" w:rsidRPr="004815B2" w:rsidRDefault="002C52F5" w:rsidP="002C52F5">
      <w:pPr>
        <w:pStyle w:val="Titre3"/>
        <w:rPr>
          <w:lang w:val="en-US"/>
        </w:rPr>
      </w:pPr>
      <w:r>
        <w:rPr>
          <w:lang w:val="en-US"/>
        </w:rPr>
        <w:t xml:space="preserve">Support of </w:t>
      </w:r>
      <w:r w:rsidRPr="004815B2">
        <w:rPr>
          <w:lang w:val="en-US"/>
        </w:rPr>
        <w:t xml:space="preserve">Multi-Standard Radio (MSR) </w:t>
      </w:r>
      <w:r>
        <w:rPr>
          <w:lang w:val="en-US"/>
        </w:rPr>
        <w:t xml:space="preserve">for in band </w:t>
      </w:r>
      <w:r w:rsidRPr="004815B2">
        <w:rPr>
          <w:lang w:val="en-US"/>
        </w:rPr>
        <w:t>operation of NB-</w:t>
      </w:r>
      <w:proofErr w:type="spellStart"/>
      <w:r w:rsidRPr="004815B2">
        <w:rPr>
          <w:lang w:val="en-US"/>
        </w:rPr>
        <w:t>IoT</w:t>
      </w:r>
      <w:proofErr w:type="spellEnd"/>
      <w:r w:rsidRPr="004815B2">
        <w:rPr>
          <w:lang w:val="en-US"/>
        </w:rPr>
        <w:t>-NTN in NR</w:t>
      </w:r>
    </w:p>
    <w:p w14:paraId="447D5052" w14:textId="07221FA2" w:rsidR="002C52F5" w:rsidRPr="000C3000" w:rsidRDefault="002C52F5" w:rsidP="002C52F5">
      <w:pPr>
        <w:pStyle w:val="Titre4"/>
        <w:rPr>
          <w:lang w:val="en-US"/>
        </w:rPr>
      </w:pPr>
      <w:r w:rsidRPr="00ED525F">
        <w:rPr>
          <w:lang w:val="en-US"/>
        </w:rPr>
        <w:t>Justification</w:t>
      </w:r>
    </w:p>
    <w:p w14:paraId="167F2937" w14:textId="77777777" w:rsidR="002C52F5" w:rsidRPr="004815B2" w:rsidRDefault="002C52F5" w:rsidP="002C52F5">
      <w:pPr>
        <w:rPr>
          <w:lang w:val="en-US"/>
        </w:rPr>
      </w:pPr>
      <w:r w:rsidRPr="004815B2">
        <w:rPr>
          <w:lang w:val="en-US"/>
        </w:rPr>
        <w:t xml:space="preserve">For an efficient support of in-band operation, the support of Multi-Standard Radio (MSR) Base Station </w:t>
      </w:r>
      <w:r>
        <w:rPr>
          <w:lang w:val="en-US"/>
        </w:rPr>
        <w:t>might</w:t>
      </w:r>
      <w:r w:rsidRPr="004815B2">
        <w:rPr>
          <w:lang w:val="en-US"/>
        </w:rPr>
        <w:t xml:space="preserve"> be needed</w:t>
      </w:r>
      <w:r>
        <w:rPr>
          <w:lang w:val="en-US"/>
        </w:rPr>
        <w:t>.</w:t>
      </w:r>
    </w:p>
    <w:p w14:paraId="275CEB23" w14:textId="77777777" w:rsidR="002C52F5" w:rsidRPr="00FE043C" w:rsidRDefault="002C52F5" w:rsidP="002C52F5">
      <w:pPr>
        <w:rPr>
          <w:lang w:val="en-US"/>
        </w:rPr>
      </w:pPr>
    </w:p>
    <w:p w14:paraId="32B5747C" w14:textId="77777777" w:rsidR="002C52F5" w:rsidRDefault="002C52F5" w:rsidP="002C52F5">
      <w:pPr>
        <w:pStyle w:val="Titre4"/>
      </w:pPr>
      <w:r w:rsidRPr="714FC45E">
        <w:t>Objectives</w:t>
      </w:r>
    </w:p>
    <w:p w14:paraId="7642798F" w14:textId="77777777" w:rsidR="002C52F5" w:rsidRPr="004815B2" w:rsidRDefault="002C52F5" w:rsidP="002C52F5">
      <w:pPr>
        <w:rPr>
          <w:lang w:val="en-US"/>
        </w:rPr>
      </w:pPr>
      <w:r>
        <w:rPr>
          <w:lang w:val="en-US"/>
        </w:rPr>
        <w:t>Create</w:t>
      </w:r>
      <w:r w:rsidRPr="004815B2">
        <w:rPr>
          <w:lang w:val="en-US"/>
        </w:rPr>
        <w:t xml:space="preserve"> TS 37.1</w:t>
      </w:r>
      <w:r>
        <w:rPr>
          <w:lang w:val="en-US"/>
        </w:rPr>
        <w:t>8</w:t>
      </w:r>
      <w:r w:rsidRPr="004815B2">
        <w:rPr>
          <w:lang w:val="en-US"/>
        </w:rPr>
        <w:t xml:space="preserve">1 </w:t>
      </w:r>
      <w:r>
        <w:rPr>
          <w:lang w:val="en-US"/>
        </w:rPr>
        <w:t xml:space="preserve">(NTN equivalent of TS 37.141 </w:t>
      </w:r>
      <w:r w:rsidRPr="004815B2">
        <w:rPr>
          <w:lang w:val="en-US"/>
        </w:rPr>
        <w:t>NR, E-UTRA, UTRA and GSM/EDGE; Multi-Standard Radio (MSR) Base Station (BS) conformance testing</w:t>
      </w:r>
      <w:r>
        <w:rPr>
          <w:lang w:val="en-US"/>
        </w:rPr>
        <w:t xml:space="preserve">) and TS 37.108 (NTN equivalent of TS 37.104 </w:t>
      </w:r>
      <w:r w:rsidRPr="009A395A">
        <w:rPr>
          <w:lang w:val="en-US"/>
        </w:rPr>
        <w:t>NR, E-UTRA, UTRA and GSM/EDGE; Multi-Standard Radio (MSR) Base Station (BS) radio transmission and reception</w:t>
      </w:r>
      <w:r>
        <w:rPr>
          <w:lang w:val="en-US"/>
        </w:rPr>
        <w:t>).</w:t>
      </w:r>
    </w:p>
    <w:p w14:paraId="6F3E4BD9" w14:textId="77777777" w:rsidR="002C52F5" w:rsidRDefault="002C52F5" w:rsidP="002C52F5">
      <w:pPr>
        <w:rPr>
          <w:lang w:val="en-US"/>
        </w:rPr>
      </w:pPr>
    </w:p>
    <w:p w14:paraId="43F0A90F" w14:textId="77777777" w:rsidR="002C52F5" w:rsidRPr="00392674" w:rsidRDefault="002C52F5" w:rsidP="002C52F5">
      <w:pPr>
        <w:pStyle w:val="Titre4"/>
      </w:pPr>
      <w:proofErr w:type="spellStart"/>
      <w:r w:rsidRPr="00392674">
        <w:t>Working</w:t>
      </w:r>
      <w:proofErr w:type="spellEnd"/>
      <w:r w:rsidRPr="00392674">
        <w:t xml:space="preserve"> groups</w:t>
      </w:r>
    </w:p>
    <w:p w14:paraId="4B4E142C" w14:textId="77777777" w:rsidR="002C52F5" w:rsidRDefault="002C52F5" w:rsidP="002C52F5">
      <w:r>
        <w:t>RAN4 RRM, RAN1</w:t>
      </w:r>
    </w:p>
    <w:p w14:paraId="562BB3C2" w14:textId="372CF566" w:rsidR="00EA6FCD" w:rsidRDefault="00EA6FCD" w:rsidP="00E34DF5">
      <w:pPr>
        <w:rPr>
          <w:lang w:val="en-US"/>
        </w:rPr>
      </w:pPr>
    </w:p>
    <w:p w14:paraId="315EEF00" w14:textId="77777777" w:rsidR="00EA6FCD" w:rsidRDefault="00EA6FCD" w:rsidP="00EA6FCD">
      <w:pPr>
        <w:pStyle w:val="Titre3"/>
        <w:rPr>
          <w:lang w:val="en-US"/>
        </w:rPr>
      </w:pPr>
      <w:r w:rsidRPr="00EA6FCD">
        <w:rPr>
          <w:lang w:val="en-US"/>
        </w:rPr>
        <w:t>Intra SAN Carrier aggregation (at both SAN and UE level)</w:t>
      </w:r>
    </w:p>
    <w:p w14:paraId="22039936" w14:textId="77777777" w:rsidR="00EA6FCD" w:rsidRDefault="00EA6FCD" w:rsidP="00EA6FCD">
      <w:pPr>
        <w:pStyle w:val="Titre4"/>
      </w:pPr>
      <w:r w:rsidRPr="714FC45E">
        <w:t>Justification</w:t>
      </w:r>
    </w:p>
    <w:p w14:paraId="2440B664" w14:textId="77777777" w:rsidR="00C62DC4" w:rsidRPr="00C260AA" w:rsidRDefault="00C62DC4" w:rsidP="00C62DC4">
      <w:pPr>
        <w:rPr>
          <w:iCs/>
          <w:lang w:val="en-US"/>
        </w:rPr>
      </w:pPr>
      <w:r w:rsidRPr="00C260AA">
        <w:rPr>
          <w:iCs/>
          <w:lang w:val="en-US"/>
        </w:rPr>
        <w:t>When NR support for Non-Terrestrial Networks (NTN) was introduced in Release 17, support for Carrier Aggregation (CA) was not included in the work scope.</w:t>
      </w:r>
    </w:p>
    <w:p w14:paraId="61A1E69A" w14:textId="77777777" w:rsidR="00C62DC4" w:rsidRPr="00C260AA" w:rsidRDefault="00C62DC4" w:rsidP="00C62DC4">
      <w:pPr>
        <w:rPr>
          <w:iCs/>
          <w:lang w:val="en-US"/>
        </w:rPr>
      </w:pPr>
      <w:r w:rsidRPr="00C260AA">
        <w:rPr>
          <w:iCs/>
          <w:lang w:val="en-US"/>
        </w:rPr>
        <w:t xml:space="preserve">As a result of that, this feature is not available for new NR NTN planned for the near future. As we are nearing deployment of new constellations, the criticality of this features </w:t>
      </w:r>
      <w:proofErr w:type="gramStart"/>
      <w:r w:rsidRPr="00C260AA">
        <w:rPr>
          <w:iCs/>
          <w:lang w:val="en-US"/>
        </w:rPr>
        <w:t>is</w:t>
      </w:r>
      <w:proofErr w:type="gramEnd"/>
      <w:r w:rsidRPr="00C260AA">
        <w:rPr>
          <w:iCs/>
          <w:lang w:val="en-US"/>
        </w:rPr>
        <w:t xml:space="preserve"> becoming more and more apparent.</w:t>
      </w:r>
    </w:p>
    <w:p w14:paraId="1B189EB4" w14:textId="77777777" w:rsidR="00C62DC4" w:rsidRPr="00C260AA" w:rsidRDefault="00C62DC4" w:rsidP="00C62DC4">
      <w:pPr>
        <w:rPr>
          <w:iCs/>
          <w:lang w:val="en-US"/>
        </w:rPr>
      </w:pPr>
      <w:r w:rsidRPr="00C260AA">
        <w:rPr>
          <w:iCs/>
          <w:lang w:val="en-US"/>
        </w:rPr>
        <w:t>Furthermore, the lack of Carrier Aggregation support for NTN creates a significant feature gap and disparity with the current NR terrestrial solution, and may thus potentially result in a disparity with some satellite systems being planned or deployed.</w:t>
      </w:r>
    </w:p>
    <w:p w14:paraId="1A8D236E" w14:textId="77777777" w:rsidR="00C62DC4" w:rsidRPr="00C260AA" w:rsidRDefault="00C62DC4" w:rsidP="00C62DC4">
      <w:pPr>
        <w:rPr>
          <w:iCs/>
          <w:lang w:val="en-US"/>
        </w:rPr>
      </w:pPr>
      <w:r w:rsidRPr="00C260AA">
        <w:rPr>
          <w:iCs/>
          <w:lang w:val="en-US"/>
        </w:rPr>
        <w:t xml:space="preserve">There are also a number of other technical aspects that strongly justify the introduction of CA.  For example, initial channel allocations for NTN may in certain regions be constrained by existing/legacy services, whereby channels may become available in non-contiguous areas of spectrum. </w:t>
      </w:r>
    </w:p>
    <w:p w14:paraId="7F1967A8" w14:textId="77777777" w:rsidR="00EA6FCD" w:rsidRPr="00567BE0" w:rsidRDefault="00EA6FCD" w:rsidP="00EA6FCD">
      <w:pPr>
        <w:jc w:val="both"/>
        <w:rPr>
          <w:lang w:val="en-US"/>
        </w:rPr>
      </w:pPr>
    </w:p>
    <w:p w14:paraId="0CAA9D55" w14:textId="77777777" w:rsidR="00EA6FCD" w:rsidRDefault="00EA6FCD" w:rsidP="00EA6FCD">
      <w:pPr>
        <w:pStyle w:val="Titre4"/>
      </w:pPr>
      <w:r w:rsidRPr="714FC45E">
        <w:t>Objectives</w:t>
      </w:r>
    </w:p>
    <w:p w14:paraId="7A7863E7" w14:textId="29F9DFAE" w:rsidR="00C62DC4" w:rsidRDefault="00C62DC4" w:rsidP="00C62DC4">
      <w:pPr>
        <w:rPr>
          <w:iCs/>
          <w:lang w:val="en-US"/>
        </w:rPr>
      </w:pPr>
    </w:p>
    <w:p w14:paraId="277F1AEB" w14:textId="14D797E8" w:rsidR="00C62DC4" w:rsidRPr="00C260AA" w:rsidRDefault="00C62DC4" w:rsidP="00C62DC4">
      <w:pPr>
        <w:rPr>
          <w:iCs/>
          <w:lang w:val="en-US"/>
        </w:rPr>
      </w:pPr>
      <w:r w:rsidRPr="00C260AA">
        <w:rPr>
          <w:iCs/>
          <w:lang w:val="en-US"/>
        </w:rPr>
        <w:t>The Core Part objectives are as follows:</w:t>
      </w:r>
    </w:p>
    <w:p w14:paraId="52387E44" w14:textId="79102410" w:rsidR="00C62DC4" w:rsidRDefault="00C62DC4" w:rsidP="00C62DC4">
      <w:pPr>
        <w:pStyle w:val="B1"/>
        <w:numPr>
          <w:ilvl w:val="0"/>
          <w:numId w:val="44"/>
        </w:numPr>
      </w:pPr>
      <w:r>
        <w:t xml:space="preserve">Specify the introduction of </w:t>
      </w:r>
      <w:r w:rsidR="00627681">
        <w:t xml:space="preserve">intra band </w:t>
      </w:r>
      <w:r>
        <w:t>Carrier Aggregation (CA) for NR NTN</w:t>
      </w:r>
      <w:r w:rsidR="004D621D">
        <w:t xml:space="preserve"> on DL and UL</w:t>
      </w:r>
      <w:r w:rsidR="003861E1">
        <w:t xml:space="preserve"> for all NR NTN bands (below 7.125 GHz and above 10 GHz)</w:t>
      </w:r>
    </w:p>
    <w:p w14:paraId="5C50C8D3" w14:textId="77777777" w:rsidR="00C62DC4" w:rsidRDefault="00C62DC4" w:rsidP="00C260AA">
      <w:pPr>
        <w:pStyle w:val="B1"/>
        <w:numPr>
          <w:ilvl w:val="1"/>
          <w:numId w:val="44"/>
        </w:numPr>
      </w:pPr>
      <w:r>
        <w:t>Focus on the intra-SAN scenario, where component carriers are co-located in the same Satellite Access Node (SAN) and supported by the same payload.</w:t>
      </w:r>
    </w:p>
    <w:p w14:paraId="6B9F4E45" w14:textId="77777777" w:rsidR="00C62DC4" w:rsidRDefault="00C62DC4" w:rsidP="00C260AA">
      <w:pPr>
        <w:pStyle w:val="B1"/>
        <w:numPr>
          <w:ilvl w:val="1"/>
          <w:numId w:val="44"/>
        </w:numPr>
      </w:pPr>
      <w:r>
        <w:t>Support for intra-band contiguous and non-contiguous CA</w:t>
      </w:r>
    </w:p>
    <w:p w14:paraId="5E4C6FCD" w14:textId="77777777" w:rsidR="00C62DC4" w:rsidRDefault="00C62DC4" w:rsidP="00C62DC4">
      <w:pPr>
        <w:pStyle w:val="B1"/>
        <w:numPr>
          <w:ilvl w:val="0"/>
          <w:numId w:val="44"/>
        </w:numPr>
      </w:pPr>
      <w:r>
        <w:t>Specify the necessary RF and RRM requirements</w:t>
      </w:r>
    </w:p>
    <w:p w14:paraId="08627EC1" w14:textId="0BED41F9" w:rsidR="00EA6FCD" w:rsidRPr="00FC05A4" w:rsidRDefault="00EA6FCD" w:rsidP="00EA6FCD">
      <w:pPr>
        <w:jc w:val="both"/>
        <w:rPr>
          <w:lang w:val="en-US"/>
        </w:rPr>
      </w:pPr>
    </w:p>
    <w:p w14:paraId="45A5606B" w14:textId="77777777" w:rsidR="00EA6FCD" w:rsidRDefault="00EA6FCD" w:rsidP="00EA6FCD">
      <w:pPr>
        <w:pStyle w:val="Titre4"/>
      </w:pPr>
      <w:proofErr w:type="spellStart"/>
      <w:r w:rsidRPr="0092048E">
        <w:t>Working</w:t>
      </w:r>
      <w:proofErr w:type="spellEnd"/>
      <w:r w:rsidRPr="0092048E">
        <w:t xml:space="preserve"> groups</w:t>
      </w:r>
    </w:p>
    <w:p w14:paraId="11E0FF2C" w14:textId="77777777" w:rsidR="001B4375" w:rsidRPr="00C260AA" w:rsidRDefault="00EA6FCD" w:rsidP="00EA6FCD">
      <w:pPr>
        <w:pStyle w:val="Paragraphedeliste"/>
        <w:numPr>
          <w:ilvl w:val="0"/>
          <w:numId w:val="40"/>
        </w:numPr>
        <w:rPr>
          <w:lang w:val="en-US"/>
        </w:rPr>
      </w:pPr>
      <w:r>
        <w:rPr>
          <w:bdr w:val="none" w:sz="0" w:space="0" w:color="auto" w:frame="1"/>
          <w:lang w:val="en-US" w:eastAsia="en-GB"/>
        </w:rPr>
        <w:t>RAN4</w:t>
      </w:r>
    </w:p>
    <w:p w14:paraId="7470CC73" w14:textId="6987980C" w:rsidR="00EA6FCD" w:rsidRPr="00E34DF5" w:rsidRDefault="002C52F5" w:rsidP="00EA6FCD">
      <w:pPr>
        <w:pStyle w:val="Paragraphedeliste"/>
        <w:numPr>
          <w:ilvl w:val="0"/>
          <w:numId w:val="40"/>
        </w:numPr>
        <w:rPr>
          <w:lang w:val="en-US"/>
        </w:rPr>
      </w:pPr>
      <w:r>
        <w:rPr>
          <w:bdr w:val="none" w:sz="0" w:space="0" w:color="auto" w:frame="1"/>
          <w:lang w:val="en-US" w:eastAsia="en-GB"/>
        </w:rPr>
        <w:t>RAN1, RAN2</w:t>
      </w:r>
    </w:p>
    <w:p w14:paraId="52CF1954" w14:textId="77777777" w:rsidR="00EA6FCD" w:rsidRPr="00E34DF5" w:rsidRDefault="00EA6FCD" w:rsidP="00E34DF5">
      <w:pPr>
        <w:rPr>
          <w:lang w:val="en-US"/>
        </w:rPr>
      </w:pPr>
    </w:p>
    <w:p w14:paraId="7D21D9DC" w14:textId="77777777" w:rsidR="00A333AD" w:rsidRPr="00A26390" w:rsidRDefault="00A333AD" w:rsidP="00A333AD">
      <w:pPr>
        <w:pStyle w:val="Titre1"/>
        <w:pageBreakBefore w:val="0"/>
        <w:ind w:left="431" w:hanging="431"/>
      </w:pPr>
      <w:bookmarkStart w:id="11" w:name="_Toc181198563"/>
      <w:r w:rsidRPr="714FC45E">
        <w:t xml:space="preserve">Conclusion and </w:t>
      </w:r>
      <w:proofErr w:type="spellStart"/>
      <w:r w:rsidRPr="714FC45E">
        <w:t>Way</w:t>
      </w:r>
      <w:proofErr w:type="spellEnd"/>
      <w:r w:rsidRPr="714FC45E">
        <w:t xml:space="preserve"> </w:t>
      </w:r>
      <w:proofErr w:type="spellStart"/>
      <w:r w:rsidRPr="714FC45E">
        <w:t>forward</w:t>
      </w:r>
      <w:bookmarkEnd w:id="11"/>
      <w:proofErr w:type="spellEnd"/>
    </w:p>
    <w:p w14:paraId="19987CFD" w14:textId="13796F9D" w:rsidR="00357876" w:rsidRPr="0008150D" w:rsidRDefault="00357876" w:rsidP="00357876">
      <w:pPr>
        <w:rPr>
          <w:b/>
          <w:lang w:val="en-US"/>
        </w:rPr>
      </w:pPr>
      <w:r w:rsidRPr="0008150D">
        <w:rPr>
          <w:b/>
          <w:lang w:val="en-US"/>
        </w:rPr>
        <w:t>Proposal </w:t>
      </w:r>
      <w:r w:rsidR="00515C75">
        <w:rPr>
          <w:b/>
          <w:lang w:val="en-US"/>
        </w:rPr>
        <w:t>1</w:t>
      </w:r>
      <w:r w:rsidRPr="0008150D">
        <w:rPr>
          <w:b/>
          <w:lang w:val="en-US"/>
        </w:rPr>
        <w:t xml:space="preserve">: </w:t>
      </w:r>
      <w:r>
        <w:rPr>
          <w:b/>
          <w:lang w:val="en-US"/>
        </w:rPr>
        <w:t xml:space="preserve">RAN to </w:t>
      </w:r>
      <w:r w:rsidR="005D5F8D">
        <w:rPr>
          <w:b/>
          <w:lang w:val="en-US"/>
        </w:rPr>
        <w:t>discuss</w:t>
      </w:r>
      <w:r w:rsidRPr="0008150D">
        <w:rPr>
          <w:b/>
          <w:lang w:val="en-US"/>
        </w:rPr>
        <w:t xml:space="preserve"> </w:t>
      </w:r>
      <w:r w:rsidR="005D5F8D">
        <w:rPr>
          <w:b/>
          <w:lang w:val="en-US"/>
        </w:rPr>
        <w:t>at</w:t>
      </w:r>
      <w:r>
        <w:rPr>
          <w:b/>
          <w:lang w:val="en-US"/>
        </w:rPr>
        <w:t xml:space="preserve"> next plenar</w:t>
      </w:r>
      <w:r w:rsidR="005D5F8D">
        <w:rPr>
          <w:b/>
          <w:lang w:val="en-US"/>
        </w:rPr>
        <w:t>y</w:t>
      </w:r>
      <w:r>
        <w:rPr>
          <w:b/>
          <w:lang w:val="en-US"/>
        </w:rPr>
        <w:t xml:space="preserve"> </w:t>
      </w:r>
      <w:r w:rsidRPr="0008150D">
        <w:rPr>
          <w:b/>
          <w:lang w:val="en-US"/>
        </w:rPr>
        <w:t xml:space="preserve">candidate </w:t>
      </w:r>
      <w:r>
        <w:rPr>
          <w:b/>
          <w:lang w:val="en-US"/>
        </w:rPr>
        <w:t xml:space="preserve">RAN4 led </w:t>
      </w:r>
      <w:r w:rsidR="00D11687">
        <w:rPr>
          <w:b/>
          <w:lang w:val="en-US"/>
        </w:rPr>
        <w:t>NR-</w:t>
      </w:r>
      <w:r w:rsidRPr="0008150D">
        <w:rPr>
          <w:b/>
          <w:lang w:val="en-US"/>
        </w:rPr>
        <w:t xml:space="preserve">NTN topics as part of the Rel-20 </w:t>
      </w:r>
      <w:r>
        <w:rPr>
          <w:b/>
          <w:lang w:val="en-US"/>
        </w:rPr>
        <w:t xml:space="preserve">5G Advanced </w:t>
      </w:r>
      <w:r w:rsidR="006E67C8">
        <w:rPr>
          <w:b/>
          <w:lang w:val="en-US"/>
        </w:rPr>
        <w:t>work plan.</w:t>
      </w:r>
    </w:p>
    <w:p w14:paraId="4CA565C8" w14:textId="77777777" w:rsidR="0097189B" w:rsidRDefault="0097189B">
      <w:pPr>
        <w:rPr>
          <w:lang w:val="en-US"/>
        </w:rPr>
      </w:pPr>
    </w:p>
    <w:p w14:paraId="4BAD7887" w14:textId="77777777" w:rsidR="007D4DA3" w:rsidRPr="007D4DA3" w:rsidRDefault="007D4DA3" w:rsidP="007D4DA3">
      <w:pPr>
        <w:jc w:val="center"/>
        <w:rPr>
          <w:b/>
          <w:i/>
          <w:lang w:val="en-US"/>
        </w:rPr>
      </w:pPr>
      <w:r w:rsidRPr="007D4DA3">
        <w:rPr>
          <w:b/>
          <w:i/>
          <w:lang w:val="en-US"/>
        </w:rPr>
        <w:t>END</w:t>
      </w:r>
      <w:bookmarkStart w:id="12" w:name="_GoBack"/>
      <w:bookmarkEnd w:id="12"/>
    </w:p>
    <w:sectPr w:rsidR="007D4DA3" w:rsidRPr="007D4DA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B1D18" w14:textId="77777777" w:rsidR="00506DB9" w:rsidRDefault="00506DB9" w:rsidP="005C7A9D">
      <w:pPr>
        <w:spacing w:after="0" w:line="240" w:lineRule="auto"/>
      </w:pPr>
      <w:r>
        <w:separator/>
      </w:r>
    </w:p>
  </w:endnote>
  <w:endnote w:type="continuationSeparator" w:id="0">
    <w:p w14:paraId="6C808FC8" w14:textId="77777777" w:rsidR="00506DB9" w:rsidRDefault="00506DB9"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62003"/>
      <w:docPartObj>
        <w:docPartGallery w:val="Page Numbers (Bottom of Page)"/>
        <w:docPartUnique/>
      </w:docPartObj>
    </w:sdtPr>
    <w:sdtEndPr/>
    <w:sdtContent>
      <w:p w14:paraId="716CF364" w14:textId="3E694E0B" w:rsidR="00F73526" w:rsidRDefault="00F73526">
        <w:pPr>
          <w:pStyle w:val="Pieddepage"/>
          <w:jc w:val="right"/>
        </w:pPr>
        <w:r>
          <w:fldChar w:fldCharType="begin"/>
        </w:r>
        <w:r>
          <w:instrText>PAGE   \* MERGEFORMAT</w:instrText>
        </w:r>
        <w:r>
          <w:fldChar w:fldCharType="separate"/>
        </w:r>
        <w:r w:rsidR="000C3000">
          <w:rPr>
            <w:noProof/>
          </w:rPr>
          <w:t>6</w:t>
        </w:r>
        <w:r>
          <w:fldChar w:fldCharType="end"/>
        </w:r>
      </w:p>
    </w:sdtContent>
  </w:sdt>
  <w:p w14:paraId="7BC23657" w14:textId="77777777" w:rsidR="00F73526" w:rsidRDefault="00F7352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E5E6F" w14:textId="77777777" w:rsidR="00506DB9" w:rsidRDefault="00506DB9" w:rsidP="005C7A9D">
      <w:pPr>
        <w:spacing w:after="0" w:line="240" w:lineRule="auto"/>
      </w:pPr>
      <w:r>
        <w:separator/>
      </w:r>
    </w:p>
  </w:footnote>
  <w:footnote w:type="continuationSeparator" w:id="0">
    <w:p w14:paraId="747A86F7" w14:textId="77777777" w:rsidR="00506DB9" w:rsidRDefault="00506DB9"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34608"/>
    <w:multiLevelType w:val="hybridMultilevel"/>
    <w:tmpl w:val="B5AC0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95BE7"/>
    <w:multiLevelType w:val="hybridMultilevel"/>
    <w:tmpl w:val="0714E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F64FCE"/>
    <w:multiLevelType w:val="hybridMultilevel"/>
    <w:tmpl w:val="8D625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78364F"/>
    <w:multiLevelType w:val="hybridMultilevel"/>
    <w:tmpl w:val="73142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DE040C"/>
    <w:multiLevelType w:val="hybridMultilevel"/>
    <w:tmpl w:val="F55A2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A44344"/>
    <w:multiLevelType w:val="hybridMultilevel"/>
    <w:tmpl w:val="A0E642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9A4E09"/>
    <w:multiLevelType w:val="hybridMultilevel"/>
    <w:tmpl w:val="0CA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B1D93"/>
    <w:multiLevelType w:val="hybridMultilevel"/>
    <w:tmpl w:val="A23A2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794BDB"/>
    <w:multiLevelType w:val="hybridMultilevel"/>
    <w:tmpl w:val="9C7268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175F6F"/>
    <w:multiLevelType w:val="hybridMultilevel"/>
    <w:tmpl w:val="FB4C3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846A0A"/>
    <w:multiLevelType w:val="hybridMultilevel"/>
    <w:tmpl w:val="90021D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8725A9"/>
    <w:multiLevelType w:val="hybridMultilevel"/>
    <w:tmpl w:val="C76C11FA"/>
    <w:lvl w:ilvl="0" w:tplc="E56860D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B6323B"/>
    <w:multiLevelType w:val="hybridMultilevel"/>
    <w:tmpl w:val="6B5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53F67"/>
    <w:multiLevelType w:val="hybridMultilevel"/>
    <w:tmpl w:val="0B588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66BFF"/>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DEA6815"/>
    <w:multiLevelType w:val="hybridMultilevel"/>
    <w:tmpl w:val="754EC8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43264971"/>
    <w:multiLevelType w:val="hybridMultilevel"/>
    <w:tmpl w:val="8B2EFA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F36B7B"/>
    <w:multiLevelType w:val="hybridMultilevel"/>
    <w:tmpl w:val="391A0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372943"/>
    <w:multiLevelType w:val="hybridMultilevel"/>
    <w:tmpl w:val="37AA06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0133AE"/>
    <w:multiLevelType w:val="hybridMultilevel"/>
    <w:tmpl w:val="C5746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535BA2"/>
    <w:multiLevelType w:val="hybridMultilevel"/>
    <w:tmpl w:val="221ABA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9A4C0D"/>
    <w:multiLevelType w:val="hybridMultilevel"/>
    <w:tmpl w:val="A0C4F6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8A0F8B"/>
    <w:multiLevelType w:val="hybridMultilevel"/>
    <w:tmpl w:val="F7C86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377C70"/>
    <w:multiLevelType w:val="hybridMultilevel"/>
    <w:tmpl w:val="710099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252C25"/>
    <w:multiLevelType w:val="hybridMultilevel"/>
    <w:tmpl w:val="8D72C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1E1131"/>
    <w:multiLevelType w:val="hybridMultilevel"/>
    <w:tmpl w:val="59741B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9"/>
  </w:num>
  <w:num w:numId="3">
    <w:abstractNumId w:val="22"/>
  </w:num>
  <w:num w:numId="4">
    <w:abstractNumId w:val="17"/>
  </w:num>
  <w:num w:numId="5">
    <w:abstractNumId w:val="26"/>
  </w:num>
  <w:num w:numId="6">
    <w:abstractNumId w:val="31"/>
  </w:num>
  <w:num w:numId="7">
    <w:abstractNumId w:val="0"/>
  </w:num>
  <w:num w:numId="8">
    <w:abstractNumId w:val="2"/>
  </w:num>
  <w:num w:numId="9">
    <w:abstractNumId w:val="7"/>
  </w:num>
  <w:num w:numId="10">
    <w:abstractNumId w:val="29"/>
  </w:num>
  <w:num w:numId="11">
    <w:abstractNumId w:val="13"/>
  </w:num>
  <w:num w:numId="12">
    <w:abstractNumId w:val="5"/>
  </w:num>
  <w:num w:numId="13">
    <w:abstractNumId w:val="10"/>
  </w:num>
  <w:num w:numId="14">
    <w:abstractNumId w:val="30"/>
  </w:num>
  <w:num w:numId="15">
    <w:abstractNumId w:val="18"/>
  </w:num>
  <w:num w:numId="16">
    <w:abstractNumId w:val="20"/>
  </w:num>
  <w:num w:numId="17">
    <w:abstractNumId w:val="28"/>
  </w:num>
  <w:num w:numId="18">
    <w:abstractNumId w:val="11"/>
  </w:num>
  <w:num w:numId="19">
    <w:abstractNumId w:val="27"/>
  </w:num>
  <w:num w:numId="20">
    <w:abstractNumId w:val="19"/>
  </w:num>
  <w:num w:numId="21">
    <w:abstractNumId w:val="19"/>
  </w:num>
  <w:num w:numId="22">
    <w:abstractNumId w:val="9"/>
  </w:num>
  <w:num w:numId="23">
    <w:abstractNumId w:val="33"/>
  </w:num>
  <w:num w:numId="24">
    <w:abstractNumId w:val="21"/>
  </w:num>
  <w:num w:numId="25">
    <w:abstractNumId w:val="16"/>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3"/>
  </w:num>
  <w:num w:numId="37">
    <w:abstractNumId w:val="24"/>
  </w:num>
  <w:num w:numId="38">
    <w:abstractNumId w:val="4"/>
  </w:num>
  <w:num w:numId="39">
    <w:abstractNumId w:val="32"/>
  </w:num>
  <w:num w:numId="40">
    <w:abstractNumId w:val="23"/>
  </w:num>
  <w:num w:numId="41">
    <w:abstractNumId w:val="25"/>
  </w:num>
  <w:num w:numId="42">
    <w:abstractNumId w:val="6"/>
  </w:num>
  <w:num w:numId="43">
    <w:abstractNumId w:val="1"/>
  </w:num>
  <w:num w:numId="44">
    <w:abstractNumId w:val="14"/>
  </w:num>
  <w:num w:numId="45">
    <w:abstractNumId w:val="15"/>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74A"/>
    <w:rsid w:val="000420CE"/>
    <w:rsid w:val="00043675"/>
    <w:rsid w:val="00050A63"/>
    <w:rsid w:val="0005360C"/>
    <w:rsid w:val="00061246"/>
    <w:rsid w:val="000668B6"/>
    <w:rsid w:val="000801A4"/>
    <w:rsid w:val="000962C8"/>
    <w:rsid w:val="000A3236"/>
    <w:rsid w:val="000C3000"/>
    <w:rsid w:val="000F46DC"/>
    <w:rsid w:val="00101A15"/>
    <w:rsid w:val="0010583B"/>
    <w:rsid w:val="001076C2"/>
    <w:rsid w:val="00144A08"/>
    <w:rsid w:val="00172A38"/>
    <w:rsid w:val="001741B4"/>
    <w:rsid w:val="00194FF7"/>
    <w:rsid w:val="001A0423"/>
    <w:rsid w:val="001A3B85"/>
    <w:rsid w:val="001B4375"/>
    <w:rsid w:val="001B56D8"/>
    <w:rsid w:val="001F384A"/>
    <w:rsid w:val="00201623"/>
    <w:rsid w:val="00203EA4"/>
    <w:rsid w:val="00204808"/>
    <w:rsid w:val="002216E8"/>
    <w:rsid w:val="00231EF1"/>
    <w:rsid w:val="0024193B"/>
    <w:rsid w:val="002430FB"/>
    <w:rsid w:val="00246B86"/>
    <w:rsid w:val="002526F8"/>
    <w:rsid w:val="00255351"/>
    <w:rsid w:val="00257416"/>
    <w:rsid w:val="0026642F"/>
    <w:rsid w:val="00267C94"/>
    <w:rsid w:val="00267CEA"/>
    <w:rsid w:val="002870DB"/>
    <w:rsid w:val="002A46D7"/>
    <w:rsid w:val="002C3370"/>
    <w:rsid w:val="002C52F5"/>
    <w:rsid w:val="002D12E4"/>
    <w:rsid w:val="002E0E90"/>
    <w:rsid w:val="002E124A"/>
    <w:rsid w:val="002E5305"/>
    <w:rsid w:val="002F38D1"/>
    <w:rsid w:val="00314860"/>
    <w:rsid w:val="0031720A"/>
    <w:rsid w:val="00320226"/>
    <w:rsid w:val="003409B9"/>
    <w:rsid w:val="003458DE"/>
    <w:rsid w:val="00357876"/>
    <w:rsid w:val="00360D49"/>
    <w:rsid w:val="003861E1"/>
    <w:rsid w:val="003D48A8"/>
    <w:rsid w:val="003D5E9B"/>
    <w:rsid w:val="003E3176"/>
    <w:rsid w:val="003E3DA4"/>
    <w:rsid w:val="003E5303"/>
    <w:rsid w:val="003E551E"/>
    <w:rsid w:val="003E69CE"/>
    <w:rsid w:val="003F3B9A"/>
    <w:rsid w:val="0041075F"/>
    <w:rsid w:val="00411CC5"/>
    <w:rsid w:val="00413D6B"/>
    <w:rsid w:val="0042259E"/>
    <w:rsid w:val="004454BB"/>
    <w:rsid w:val="004473D2"/>
    <w:rsid w:val="004677A2"/>
    <w:rsid w:val="0048492F"/>
    <w:rsid w:val="00485524"/>
    <w:rsid w:val="004932E7"/>
    <w:rsid w:val="00493682"/>
    <w:rsid w:val="004A10BA"/>
    <w:rsid w:val="004B0240"/>
    <w:rsid w:val="004D158B"/>
    <w:rsid w:val="004D2F92"/>
    <w:rsid w:val="004D3FEE"/>
    <w:rsid w:val="004D563F"/>
    <w:rsid w:val="004D621D"/>
    <w:rsid w:val="004D70ED"/>
    <w:rsid w:val="004D71E3"/>
    <w:rsid w:val="004E5852"/>
    <w:rsid w:val="004E6C26"/>
    <w:rsid w:val="004E6D6D"/>
    <w:rsid w:val="004F29F5"/>
    <w:rsid w:val="004F46CA"/>
    <w:rsid w:val="00506B4E"/>
    <w:rsid w:val="00506DB9"/>
    <w:rsid w:val="00515C75"/>
    <w:rsid w:val="0052135C"/>
    <w:rsid w:val="00527A80"/>
    <w:rsid w:val="00531619"/>
    <w:rsid w:val="00540977"/>
    <w:rsid w:val="00541172"/>
    <w:rsid w:val="00556C46"/>
    <w:rsid w:val="00564F30"/>
    <w:rsid w:val="00565CBA"/>
    <w:rsid w:val="00567BE0"/>
    <w:rsid w:val="00571F02"/>
    <w:rsid w:val="00573CDA"/>
    <w:rsid w:val="005953B9"/>
    <w:rsid w:val="005A3636"/>
    <w:rsid w:val="005B2E2F"/>
    <w:rsid w:val="005B353C"/>
    <w:rsid w:val="005C7A9D"/>
    <w:rsid w:val="005C7B3D"/>
    <w:rsid w:val="005D0832"/>
    <w:rsid w:val="005D2FB6"/>
    <w:rsid w:val="005D5F0A"/>
    <w:rsid w:val="005D5F8D"/>
    <w:rsid w:val="005E6B8C"/>
    <w:rsid w:val="00613FCB"/>
    <w:rsid w:val="006261E2"/>
    <w:rsid w:val="00627681"/>
    <w:rsid w:val="006305E1"/>
    <w:rsid w:val="006310B1"/>
    <w:rsid w:val="0063455D"/>
    <w:rsid w:val="00646209"/>
    <w:rsid w:val="0065322A"/>
    <w:rsid w:val="0066465C"/>
    <w:rsid w:val="0067333F"/>
    <w:rsid w:val="006734D8"/>
    <w:rsid w:val="0067589B"/>
    <w:rsid w:val="0068003B"/>
    <w:rsid w:val="00681932"/>
    <w:rsid w:val="006A02A0"/>
    <w:rsid w:val="006A771D"/>
    <w:rsid w:val="006D4269"/>
    <w:rsid w:val="006E67C8"/>
    <w:rsid w:val="006E68EC"/>
    <w:rsid w:val="006E6D67"/>
    <w:rsid w:val="006E6ED4"/>
    <w:rsid w:val="00703DA5"/>
    <w:rsid w:val="0070728B"/>
    <w:rsid w:val="00730A3F"/>
    <w:rsid w:val="00730C6D"/>
    <w:rsid w:val="00742D97"/>
    <w:rsid w:val="00753B5D"/>
    <w:rsid w:val="00756D9A"/>
    <w:rsid w:val="00762001"/>
    <w:rsid w:val="00764D69"/>
    <w:rsid w:val="00765304"/>
    <w:rsid w:val="00771D21"/>
    <w:rsid w:val="00791FCE"/>
    <w:rsid w:val="00796ABB"/>
    <w:rsid w:val="00797540"/>
    <w:rsid w:val="007A0E4C"/>
    <w:rsid w:val="007A47C4"/>
    <w:rsid w:val="007A6BEB"/>
    <w:rsid w:val="007C2668"/>
    <w:rsid w:val="007D4DA3"/>
    <w:rsid w:val="007E2EE3"/>
    <w:rsid w:val="008016A6"/>
    <w:rsid w:val="00805CB0"/>
    <w:rsid w:val="00816772"/>
    <w:rsid w:val="008206C5"/>
    <w:rsid w:val="008321BA"/>
    <w:rsid w:val="00833F7E"/>
    <w:rsid w:val="00843156"/>
    <w:rsid w:val="00844906"/>
    <w:rsid w:val="00845D22"/>
    <w:rsid w:val="00865B6A"/>
    <w:rsid w:val="00877EA5"/>
    <w:rsid w:val="0088090F"/>
    <w:rsid w:val="008A0591"/>
    <w:rsid w:val="008E1488"/>
    <w:rsid w:val="008F1BAC"/>
    <w:rsid w:val="00905CE5"/>
    <w:rsid w:val="009069A8"/>
    <w:rsid w:val="009104B1"/>
    <w:rsid w:val="00924CDC"/>
    <w:rsid w:val="009264DE"/>
    <w:rsid w:val="00942EDF"/>
    <w:rsid w:val="00945450"/>
    <w:rsid w:val="00950C83"/>
    <w:rsid w:val="00952AA3"/>
    <w:rsid w:val="00954409"/>
    <w:rsid w:val="0097189B"/>
    <w:rsid w:val="00973C60"/>
    <w:rsid w:val="0098464D"/>
    <w:rsid w:val="00996409"/>
    <w:rsid w:val="00996B87"/>
    <w:rsid w:val="009A4B34"/>
    <w:rsid w:val="009B54D7"/>
    <w:rsid w:val="009B7787"/>
    <w:rsid w:val="00A0354A"/>
    <w:rsid w:val="00A07A07"/>
    <w:rsid w:val="00A15E4C"/>
    <w:rsid w:val="00A23C34"/>
    <w:rsid w:val="00A333AD"/>
    <w:rsid w:val="00A40055"/>
    <w:rsid w:val="00A40E59"/>
    <w:rsid w:val="00A4656C"/>
    <w:rsid w:val="00A550E2"/>
    <w:rsid w:val="00A6541A"/>
    <w:rsid w:val="00A77D28"/>
    <w:rsid w:val="00A958C7"/>
    <w:rsid w:val="00AA17E4"/>
    <w:rsid w:val="00AD1504"/>
    <w:rsid w:val="00AD530E"/>
    <w:rsid w:val="00AF3FB1"/>
    <w:rsid w:val="00B01497"/>
    <w:rsid w:val="00B13BC2"/>
    <w:rsid w:val="00B230E9"/>
    <w:rsid w:val="00B40D36"/>
    <w:rsid w:val="00B47310"/>
    <w:rsid w:val="00B569B9"/>
    <w:rsid w:val="00B61AAB"/>
    <w:rsid w:val="00B62E7B"/>
    <w:rsid w:val="00B67E61"/>
    <w:rsid w:val="00B747FB"/>
    <w:rsid w:val="00B9412B"/>
    <w:rsid w:val="00B96ABE"/>
    <w:rsid w:val="00BA40DE"/>
    <w:rsid w:val="00BD3653"/>
    <w:rsid w:val="00BF7053"/>
    <w:rsid w:val="00BF7F8C"/>
    <w:rsid w:val="00C15CE7"/>
    <w:rsid w:val="00C260AA"/>
    <w:rsid w:val="00C318B4"/>
    <w:rsid w:val="00C46DCB"/>
    <w:rsid w:val="00C51EF6"/>
    <w:rsid w:val="00C55ECC"/>
    <w:rsid w:val="00C57A13"/>
    <w:rsid w:val="00C62DC4"/>
    <w:rsid w:val="00C65C83"/>
    <w:rsid w:val="00C70504"/>
    <w:rsid w:val="00C71006"/>
    <w:rsid w:val="00C90CAB"/>
    <w:rsid w:val="00C920AD"/>
    <w:rsid w:val="00C971F2"/>
    <w:rsid w:val="00CB655B"/>
    <w:rsid w:val="00CC4B5C"/>
    <w:rsid w:val="00CD2A78"/>
    <w:rsid w:val="00CF031B"/>
    <w:rsid w:val="00CF673B"/>
    <w:rsid w:val="00D0489B"/>
    <w:rsid w:val="00D11687"/>
    <w:rsid w:val="00D1204B"/>
    <w:rsid w:val="00D132DC"/>
    <w:rsid w:val="00D13AA1"/>
    <w:rsid w:val="00D21F18"/>
    <w:rsid w:val="00D2326B"/>
    <w:rsid w:val="00D36026"/>
    <w:rsid w:val="00D60403"/>
    <w:rsid w:val="00D62276"/>
    <w:rsid w:val="00D62D9C"/>
    <w:rsid w:val="00D653CF"/>
    <w:rsid w:val="00D721CA"/>
    <w:rsid w:val="00D72EFC"/>
    <w:rsid w:val="00D76DB6"/>
    <w:rsid w:val="00D90A03"/>
    <w:rsid w:val="00D93C9A"/>
    <w:rsid w:val="00DB4FA7"/>
    <w:rsid w:val="00DE2787"/>
    <w:rsid w:val="00DE2CEF"/>
    <w:rsid w:val="00DE4E77"/>
    <w:rsid w:val="00DE7ACA"/>
    <w:rsid w:val="00DF7088"/>
    <w:rsid w:val="00E00582"/>
    <w:rsid w:val="00E05AF4"/>
    <w:rsid w:val="00E06F8C"/>
    <w:rsid w:val="00E109F2"/>
    <w:rsid w:val="00E111FB"/>
    <w:rsid w:val="00E276D9"/>
    <w:rsid w:val="00E27923"/>
    <w:rsid w:val="00E31A38"/>
    <w:rsid w:val="00E34DF5"/>
    <w:rsid w:val="00E34EC2"/>
    <w:rsid w:val="00E36124"/>
    <w:rsid w:val="00E50F4A"/>
    <w:rsid w:val="00E5125D"/>
    <w:rsid w:val="00E557E3"/>
    <w:rsid w:val="00E6797B"/>
    <w:rsid w:val="00E726B7"/>
    <w:rsid w:val="00E926AA"/>
    <w:rsid w:val="00EA6FCD"/>
    <w:rsid w:val="00EB5D9C"/>
    <w:rsid w:val="00EE2ED2"/>
    <w:rsid w:val="00EE390D"/>
    <w:rsid w:val="00EF11B9"/>
    <w:rsid w:val="00EF43BD"/>
    <w:rsid w:val="00F565AE"/>
    <w:rsid w:val="00F73526"/>
    <w:rsid w:val="00F80063"/>
    <w:rsid w:val="00FA5922"/>
    <w:rsid w:val="00FB37F0"/>
    <w:rsid w:val="00FC05A4"/>
    <w:rsid w:val="00FC16F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3"/>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tu.int/en/mediacentre/backgrounders/Pages/Earth-stations-in-motion-satellite-issues.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idirect.net/wp-content/uploads/2021/02/OpenAMIP-Standard-Revision-E.pdf" TargetMode="External"/><Relationship Id="rId4" Type="http://schemas.openxmlformats.org/officeDocument/2006/relationships/webSettings" Target="webSettings.xml"/><Relationship Id="rId9" Type="http://schemas.openxmlformats.org/officeDocument/2006/relationships/hyperlink" Target="https://www.idirect.net/wp-content/uploads/2021/02/OpenBMIP-Standard-Revision-A.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2135</Words>
  <Characters>11747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3</cp:revision>
  <dcterms:created xsi:type="dcterms:W3CDTF">2025-03-03T17:01:00Z</dcterms:created>
  <dcterms:modified xsi:type="dcterms:W3CDTF">2025-03-03T17:03:00Z</dcterms:modified>
</cp:coreProperties>
</file>